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EndPr>
        <w:rPr>
          <w:b/>
          <w:color w:val="13322B" w:themeColor="accent3"/>
          <w:sz w:val="24"/>
          <w:szCs w:val="24"/>
        </w:rPr>
      </w:sdtEndPr>
      <w:sdtContent>
        <w:p w:rsidR="00982BB8" w:rsidRPr="00C778E0" w:rsidRDefault="00982BB8" w:rsidP="00982BB8">
          <w:pPr>
            <w:jc w:val="center"/>
            <w:rPr>
              <w:rFonts w:ascii="Montserrat" w:hAnsi="Montserrat"/>
            </w:rPr>
          </w:pPr>
        </w:p>
        <w:p w:rsidR="00982BB8" w:rsidRPr="00C778E0" w:rsidRDefault="000B5FC0">
          <w:pPr>
            <w:rPr>
              <w:rFonts w:ascii="Montserrat" w:hAnsi="Montserrat"/>
            </w:rPr>
          </w:pPr>
          <w:r w:rsidRPr="00C778E0">
            <w:rPr>
              <w:rFonts w:ascii="Montserrat" w:hAnsi="Montserrat"/>
              <w:noProof/>
              <w:lang w:eastAsia="es-MX"/>
            </w:rPr>
            <mc:AlternateContent>
              <mc:Choice Requires="wps">
                <w:drawing>
                  <wp:anchor distT="0" distB="0" distL="114300" distR="114300" simplePos="0" relativeHeight="251676672" behindDoc="0" locked="0" layoutInCell="1" allowOverlap="1" wp14:anchorId="7CE9B710" wp14:editId="2D20E284">
                    <wp:simplePos x="0" y="0"/>
                    <wp:positionH relativeFrom="margin">
                      <wp:align>center</wp:align>
                    </wp:positionH>
                    <wp:positionV relativeFrom="paragraph">
                      <wp:posOffset>3995420</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47395D" id="Rectángulo 23" o:spid="_x0000_s1026" style="position:absolute;margin-left:0;margin-top:314.6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" fillcolor="#b8985b [2408]" strokecolor="#b8985b [2408]" strokeweight="1pt">
                    <w10:wrap anchorx="margin"/>
                  </v:rect>
                </w:pict>
              </mc:Fallback>
            </mc:AlternateContent>
          </w:r>
          <w:r w:rsidR="00C610BA" w:rsidRPr="00C778E0">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0EC83E83" wp14:editId="3312D200">
                    <wp:simplePos x="0" y="0"/>
                    <wp:positionH relativeFrom="margin">
                      <wp:align>center</wp:align>
                    </wp:positionH>
                    <wp:positionV relativeFrom="paragraph">
                      <wp:posOffset>1509395</wp:posOffset>
                    </wp:positionV>
                    <wp:extent cx="5274945" cy="1404620"/>
                    <wp:effectExtent l="0" t="0" r="1905" b="508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4945" cy="1404620"/>
                            </a:xfrm>
                            <a:prstGeom prst="rect">
                              <a:avLst/>
                            </a:prstGeom>
                            <a:solidFill>
                              <a:srgbClr val="FFFFFF"/>
                            </a:solidFill>
                            <a:ln w="9525">
                              <a:noFill/>
                              <a:miter lim="800000"/>
                              <a:headEnd/>
                              <a:tailEnd/>
                            </a:ln>
                          </wps:spPr>
                          <wps:txbx>
                            <w:txbxContent>
                              <w:p w:rsidR="00182A18" w:rsidRPr="000B5FC0" w:rsidRDefault="00182A18" w:rsidP="00EB788A">
                                <w:pPr>
                                  <w:jc w:val="center"/>
                                  <w:rPr>
                                    <w:rFonts w:ascii="Montserrat SemiBold" w:hAnsi="Montserrat SemiBold"/>
                                    <w:b/>
                                    <w:color w:val="13322B" w:themeColor="accent3"/>
                                    <w:sz w:val="40"/>
                                  </w:rPr>
                                </w:pPr>
                                <w:r w:rsidRPr="000B5FC0">
                                  <w:rPr>
                                    <w:rFonts w:ascii="Montserrat SemiBold" w:hAnsi="Montserrat SemiBold"/>
                                    <w:b/>
                                    <w:color w:val="13322B" w:themeColor="accent3"/>
                                    <w:sz w:val="40"/>
                                  </w:rPr>
                                  <w:t xml:space="preserve">Manual para la Integración del Clasificador de los Ingresos de los Esquemas de Financiamiento de la Salud en </w:t>
                                </w:r>
                                <w:r w:rsidR="00565D50" w:rsidRPr="000B5FC0">
                                  <w:rPr>
                                    <w:rFonts w:ascii="Montserrat SemiBold" w:hAnsi="Montserrat SemiBold"/>
                                    <w:b/>
                                    <w:color w:val="13322B" w:themeColor="accent3"/>
                                    <w:sz w:val="40"/>
                                  </w:rPr>
                                  <w:t>la Matriz de Gasto</w:t>
                                </w:r>
                              </w:p>
                              <w:p w:rsidR="004815C3" w:rsidRPr="000B5FC0" w:rsidRDefault="00C778E0" w:rsidP="00EB788A">
                                <w:pPr>
                                  <w:jc w:val="center"/>
                                  <w:rPr>
                                    <w:rFonts w:ascii="Montserrat SemiBold" w:hAnsi="Montserrat SemiBold"/>
                                    <w:b/>
                                    <w:color w:val="13322B" w:themeColor="accent3"/>
                                    <w:sz w:val="40"/>
                                  </w:rPr>
                                </w:pPr>
                                <w:r w:rsidRPr="000B5FC0">
                                  <w:rPr>
                                    <w:rFonts w:ascii="Montserrat SemiBold" w:hAnsi="Montserrat SemiBold"/>
                                    <w:b/>
                                    <w:color w:val="13322B" w:themeColor="accent3"/>
                                    <w:sz w:val="40"/>
                                  </w:rPr>
                                  <w:t>2018</w:t>
                                </w:r>
                              </w:p>
                              <w:p w:rsidR="00182A18" w:rsidRPr="000B5FC0" w:rsidRDefault="00182A18" w:rsidP="00931BB3">
                                <w:pPr>
                                  <w:jc w:val="center"/>
                                  <w:rPr>
                                    <w:rFonts w:ascii="Montserrat SemiBold" w:hAnsi="Montserrat SemiBold"/>
                                    <w:b/>
                                    <w:color w:val="003300"/>
                                    <w:sz w:val="40"/>
                                  </w:rPr>
                                </w:pPr>
                              </w:p>
                              <w:p w:rsidR="001A0A75" w:rsidRPr="000B5FC0" w:rsidRDefault="001A0A75" w:rsidP="00931BB3">
                                <w:pPr>
                                  <w:jc w:val="center"/>
                                  <w:rPr>
                                    <w:rFonts w:ascii="Montserrat SemiBold" w:hAnsi="Montserrat SemiBold"/>
                                    <w:b/>
                                    <w:color w:val="003300"/>
                                    <w:sz w:val="40"/>
                                  </w:rPr>
                                </w:pPr>
                              </w:p>
                              <w:p w:rsidR="00182A18" w:rsidRPr="000B5FC0" w:rsidRDefault="00182A18" w:rsidP="00931BB3">
                                <w:pPr>
                                  <w:jc w:val="center"/>
                                  <w:rPr>
                                    <w:rFonts w:ascii="Montserrat SemiBold" w:hAnsi="Montserrat SemiBold"/>
                                    <w:b/>
                                    <w:color w:val="003300"/>
                                    <w:sz w:val="40"/>
                                  </w:rPr>
                                </w:pPr>
                              </w:p>
                              <w:p w:rsidR="00182A18" w:rsidRPr="000B5FC0" w:rsidRDefault="00182A18" w:rsidP="00931BB3">
                                <w:pPr>
                                  <w:jc w:val="center"/>
                                  <w:rPr>
                                    <w:rFonts w:ascii="Montserrat SemiBold" w:hAnsi="Montserrat SemiBold"/>
                                    <w:b/>
                                    <w:color w:val="003300"/>
                                    <w:sz w:val="40"/>
                                  </w:rPr>
                                </w:pPr>
                              </w:p>
                              <w:p w:rsidR="00182A18" w:rsidRPr="000B5FC0" w:rsidRDefault="00182A18" w:rsidP="00EB788A">
                                <w:pPr>
                                  <w:jc w:val="center"/>
                                  <w:rPr>
                                    <w:rFonts w:ascii="Montserrat SemiBold" w:hAnsi="Montserrat SemiBold"/>
                                    <w:b/>
                                    <w:color w:val="9D2449" w:themeColor="accent2"/>
                                    <w:sz w:val="40"/>
                                  </w:rPr>
                                </w:pPr>
                                <w:r w:rsidRPr="000B5FC0">
                                  <w:rPr>
                                    <w:rFonts w:ascii="Montserrat SemiBold" w:hAnsi="Montserrat SemiBold"/>
                                    <w:b/>
                                    <w:color w:val="9D2449" w:themeColor="accent2"/>
                                    <w:sz w:val="40"/>
                                  </w:rPr>
                                  <w:t>Sistema de Cuentas en Salud a</w:t>
                                </w:r>
                              </w:p>
                              <w:p w:rsidR="00182A18" w:rsidRPr="000B5FC0" w:rsidRDefault="00182A18" w:rsidP="00EB788A">
                                <w:pPr>
                                  <w:jc w:val="center"/>
                                  <w:rPr>
                                    <w:rFonts w:ascii="Montserrat SemiBold" w:hAnsi="Montserrat SemiBold"/>
                                    <w:b/>
                                    <w:color w:val="9D2449" w:themeColor="accent2"/>
                                    <w:sz w:val="40"/>
                                  </w:rPr>
                                </w:pPr>
                                <w:r w:rsidRPr="000B5FC0">
                                  <w:rPr>
                                    <w:rFonts w:ascii="Montserrat SemiBold" w:hAnsi="Montserrat SemiBold"/>
                                    <w:b/>
                                    <w:color w:val="9D2449" w:themeColor="accent2"/>
                                    <w:sz w:val="40"/>
                                  </w:rPr>
                                  <w:t>Nivel Federal y Estatal</w:t>
                                </w:r>
                              </w:p>
                              <w:p w:rsidR="00182A18" w:rsidRPr="000B5FC0" w:rsidRDefault="00182A18" w:rsidP="00EB788A">
                                <w:pPr>
                                  <w:jc w:val="center"/>
                                  <w:rPr>
                                    <w:rFonts w:ascii="Montserrat SemiBold" w:hAnsi="Montserrat SemiBold"/>
                                    <w:b/>
                                    <w:color w:val="9D2449" w:themeColor="accent2"/>
                                    <w:sz w:val="40"/>
                                  </w:rPr>
                                </w:pPr>
                                <w:r w:rsidRPr="000B5FC0">
                                  <w:rPr>
                                    <w:rFonts w:ascii="Montserrat SemiBold" w:hAnsi="Montserrat SemiBold"/>
                                    <w:b/>
                                    <w:color w:val="9D2449" w:themeColor="accent2"/>
                                    <w:sz w:val="40"/>
                                  </w:rPr>
                                  <w:t>(SICUENTAS)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EC83E83" id="_x0000_t202" coordsize="21600,21600" o:spt="202" path="m,l,21600r21600,l21600,xe">
                    <v:stroke joinstyle="miter"/>
                    <v:path gradientshapeok="t" o:connecttype="rect"/>
                  </v:shapetype>
                  <v:shape id="Cuadro de texto 2" o:spid="_x0000_s1026" type="#_x0000_t202" style="position:absolute;margin-left:0;margin-top:118.85pt;width:415.3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" stroked="f">
                    <v:textbox style="mso-fit-shape-to-text:t">
                      <w:txbxContent>
                        <w:p w:rsidR="00182A18" w:rsidRPr="000B5FC0" w:rsidRDefault="00182A18" w:rsidP="00EB788A">
                          <w:pPr>
                            <w:jc w:val="center"/>
                            <w:rPr>
                              <w:rFonts w:ascii="Montserrat SemiBold" w:hAnsi="Montserrat SemiBold"/>
                              <w:b/>
                              <w:color w:val="13322B" w:themeColor="accent3"/>
                              <w:sz w:val="40"/>
                            </w:rPr>
                          </w:pPr>
                          <w:r w:rsidRPr="000B5FC0">
                            <w:rPr>
                              <w:rFonts w:ascii="Montserrat SemiBold" w:hAnsi="Montserrat SemiBold"/>
                              <w:b/>
                              <w:color w:val="13322B" w:themeColor="accent3"/>
                              <w:sz w:val="40"/>
                            </w:rPr>
                            <w:t xml:space="preserve">Manual para la Integración del Clasificador de los Ingresos de los Esquemas de Financiamiento de la Salud en </w:t>
                          </w:r>
                          <w:r w:rsidR="00565D50" w:rsidRPr="000B5FC0">
                            <w:rPr>
                              <w:rFonts w:ascii="Montserrat SemiBold" w:hAnsi="Montserrat SemiBold"/>
                              <w:b/>
                              <w:color w:val="13322B" w:themeColor="accent3"/>
                              <w:sz w:val="40"/>
                            </w:rPr>
                            <w:t>la Matriz de Gasto</w:t>
                          </w:r>
                        </w:p>
                        <w:p w:rsidR="004815C3" w:rsidRPr="000B5FC0" w:rsidRDefault="00C778E0" w:rsidP="00EB788A">
                          <w:pPr>
                            <w:jc w:val="center"/>
                            <w:rPr>
                              <w:rFonts w:ascii="Montserrat SemiBold" w:hAnsi="Montserrat SemiBold"/>
                              <w:b/>
                              <w:color w:val="13322B" w:themeColor="accent3"/>
                              <w:sz w:val="40"/>
                            </w:rPr>
                          </w:pPr>
                          <w:r w:rsidRPr="000B5FC0">
                            <w:rPr>
                              <w:rFonts w:ascii="Montserrat SemiBold" w:hAnsi="Montserrat SemiBold"/>
                              <w:b/>
                              <w:color w:val="13322B" w:themeColor="accent3"/>
                              <w:sz w:val="40"/>
                            </w:rPr>
                            <w:t>2018</w:t>
                          </w:r>
                        </w:p>
                        <w:p w:rsidR="00182A18" w:rsidRPr="000B5FC0" w:rsidRDefault="00182A18" w:rsidP="00931BB3">
                          <w:pPr>
                            <w:jc w:val="center"/>
                            <w:rPr>
                              <w:rFonts w:ascii="Montserrat SemiBold" w:hAnsi="Montserrat SemiBold"/>
                              <w:b/>
                              <w:color w:val="003300"/>
                              <w:sz w:val="40"/>
                            </w:rPr>
                          </w:pPr>
                        </w:p>
                        <w:p w:rsidR="001A0A75" w:rsidRPr="000B5FC0" w:rsidRDefault="001A0A75" w:rsidP="00931BB3">
                          <w:pPr>
                            <w:jc w:val="center"/>
                            <w:rPr>
                              <w:rFonts w:ascii="Montserrat SemiBold" w:hAnsi="Montserrat SemiBold"/>
                              <w:b/>
                              <w:color w:val="003300"/>
                              <w:sz w:val="40"/>
                            </w:rPr>
                          </w:pPr>
                        </w:p>
                        <w:p w:rsidR="00182A18" w:rsidRPr="000B5FC0" w:rsidRDefault="00182A18" w:rsidP="00931BB3">
                          <w:pPr>
                            <w:jc w:val="center"/>
                            <w:rPr>
                              <w:rFonts w:ascii="Montserrat SemiBold" w:hAnsi="Montserrat SemiBold"/>
                              <w:b/>
                              <w:color w:val="003300"/>
                              <w:sz w:val="40"/>
                            </w:rPr>
                          </w:pPr>
                        </w:p>
                        <w:p w:rsidR="00182A18" w:rsidRPr="000B5FC0" w:rsidRDefault="00182A18" w:rsidP="00931BB3">
                          <w:pPr>
                            <w:jc w:val="center"/>
                            <w:rPr>
                              <w:rFonts w:ascii="Montserrat SemiBold" w:hAnsi="Montserrat SemiBold"/>
                              <w:b/>
                              <w:color w:val="003300"/>
                              <w:sz w:val="40"/>
                            </w:rPr>
                          </w:pPr>
                        </w:p>
                        <w:p w:rsidR="00182A18" w:rsidRPr="000B5FC0" w:rsidRDefault="00182A18" w:rsidP="00EB788A">
                          <w:pPr>
                            <w:jc w:val="center"/>
                            <w:rPr>
                              <w:rFonts w:ascii="Montserrat SemiBold" w:hAnsi="Montserrat SemiBold"/>
                              <w:b/>
                              <w:color w:val="9D2449" w:themeColor="accent2"/>
                              <w:sz w:val="40"/>
                            </w:rPr>
                          </w:pPr>
                          <w:r w:rsidRPr="000B5FC0">
                            <w:rPr>
                              <w:rFonts w:ascii="Montserrat SemiBold" w:hAnsi="Montserrat SemiBold"/>
                              <w:b/>
                              <w:color w:val="9D2449" w:themeColor="accent2"/>
                              <w:sz w:val="40"/>
                            </w:rPr>
                            <w:t>Sistema de Cuentas en Salud a</w:t>
                          </w:r>
                        </w:p>
                        <w:p w:rsidR="00182A18" w:rsidRPr="000B5FC0" w:rsidRDefault="00182A18" w:rsidP="00EB788A">
                          <w:pPr>
                            <w:jc w:val="center"/>
                            <w:rPr>
                              <w:rFonts w:ascii="Montserrat SemiBold" w:hAnsi="Montserrat SemiBold"/>
                              <w:b/>
                              <w:color w:val="9D2449" w:themeColor="accent2"/>
                              <w:sz w:val="40"/>
                            </w:rPr>
                          </w:pPr>
                          <w:r w:rsidRPr="000B5FC0">
                            <w:rPr>
                              <w:rFonts w:ascii="Montserrat SemiBold" w:hAnsi="Montserrat SemiBold"/>
                              <w:b/>
                              <w:color w:val="9D2449" w:themeColor="accent2"/>
                              <w:sz w:val="40"/>
                            </w:rPr>
                            <w:t>Nivel Federal y Estatal</w:t>
                          </w:r>
                        </w:p>
                        <w:p w:rsidR="00182A18" w:rsidRPr="000B5FC0" w:rsidRDefault="00182A18" w:rsidP="00EB788A">
                          <w:pPr>
                            <w:jc w:val="center"/>
                            <w:rPr>
                              <w:rFonts w:ascii="Montserrat SemiBold" w:hAnsi="Montserrat SemiBold"/>
                              <w:b/>
                              <w:color w:val="9D2449" w:themeColor="accent2"/>
                              <w:sz w:val="40"/>
                            </w:rPr>
                          </w:pPr>
                          <w:r w:rsidRPr="000B5FC0">
                            <w:rPr>
                              <w:rFonts w:ascii="Montserrat SemiBold" w:hAnsi="Montserrat SemiBold"/>
                              <w:b/>
                              <w:color w:val="9D2449" w:themeColor="accent2"/>
                              <w:sz w:val="40"/>
                            </w:rPr>
                            <w:t>(SICUENTAS)</w:t>
                          </w:r>
                        </w:p>
                      </w:txbxContent>
                    </v:textbox>
                    <w10:wrap type="square" anchorx="margin"/>
                  </v:shape>
                </w:pict>
              </mc:Fallback>
            </mc:AlternateContent>
          </w:r>
          <w:r w:rsidR="00982BB8" w:rsidRPr="00C778E0">
            <w:rPr>
              <w:rFonts w:ascii="Montserrat" w:hAnsi="Montserrat"/>
            </w:rPr>
            <w:br w:type="page"/>
          </w:r>
        </w:p>
        <w:p w:rsidR="00B0083E" w:rsidRPr="001A0A75" w:rsidRDefault="00182A18" w:rsidP="00182A18">
          <w:pPr>
            <w:pStyle w:val="Prrafodelista"/>
            <w:numPr>
              <w:ilvl w:val="0"/>
              <w:numId w:val="3"/>
            </w:numPr>
            <w:jc w:val="both"/>
            <w:rPr>
              <w:rFonts w:ascii="Montserrat" w:hAnsi="Montserrat"/>
              <w:b/>
              <w:color w:val="13322B" w:themeColor="accent3"/>
              <w:sz w:val="24"/>
              <w:szCs w:val="24"/>
            </w:rPr>
          </w:pPr>
          <w:r w:rsidRPr="001A0A75">
            <w:rPr>
              <w:rFonts w:ascii="Montserrat" w:hAnsi="Montserrat"/>
              <w:b/>
              <w:color w:val="13322B" w:themeColor="accent3"/>
              <w:sz w:val="24"/>
              <w:szCs w:val="24"/>
            </w:rPr>
            <w:lastRenderedPageBreak/>
            <w:t>Clasificador de los Ingresos de los Esquemas de Financiamiento (FS)</w:t>
          </w:r>
        </w:p>
      </w:sdtContent>
    </w:sdt>
    <w:p w:rsidR="00182A18" w:rsidRPr="00C778E0" w:rsidRDefault="00182A18" w:rsidP="00652AB2">
      <w:pPr>
        <w:jc w:val="both"/>
        <w:rPr>
          <w:rFonts w:ascii="Montserrat" w:hAnsi="Montserrat"/>
        </w:rPr>
      </w:pPr>
      <w:r w:rsidRPr="00C778E0">
        <w:rPr>
          <w:rFonts w:ascii="Montserrat" w:hAnsi="Montserrat"/>
        </w:rPr>
        <w:t xml:space="preserve">La clasificación FS permite distinguir entre financiamiento público y privado a la salud; en muchos países es importante conocer la procedencia de los fondos de los esquemas de financiamiento, ya que muchos sistemas de salud tienen problemas de financiamiento, bien porque desean disponer de más fondos, o porque los quieran utilizar mejor, siempre de forma equitativa y sostenible. Los </w:t>
      </w:r>
      <w:r w:rsidR="000B5FC0" w:rsidRPr="00C778E0">
        <w:rPr>
          <w:rFonts w:ascii="Montserrat" w:hAnsi="Montserrat"/>
        </w:rPr>
        <w:t>políticos responsables</w:t>
      </w:r>
      <w:r w:rsidRPr="00C778E0">
        <w:rPr>
          <w:rFonts w:ascii="Montserrat" w:hAnsi="Montserrat"/>
        </w:rPr>
        <w:t xml:space="preserve"> se dan cuenta de que cada vez es más necesario informar de sus decisiones sobre los m</w:t>
      </w:r>
      <w:r w:rsidR="005E34E5" w:rsidRPr="00C778E0">
        <w:rPr>
          <w:rFonts w:ascii="Montserrat" w:hAnsi="Montserrat"/>
        </w:rPr>
        <w:t>ecanismos existentes y propuesta</w:t>
      </w:r>
      <w:r w:rsidRPr="00C778E0">
        <w:rPr>
          <w:rFonts w:ascii="Montserrat" w:hAnsi="Montserrat"/>
        </w:rPr>
        <w:t>s de financiamiento del sistema de salud.</w:t>
      </w:r>
      <w:r w:rsidR="00652AB2" w:rsidRPr="00C778E0">
        <w:rPr>
          <w:rFonts w:ascii="Montserrat" w:hAnsi="Montserrat"/>
        </w:rPr>
        <w:t xml:space="preserve"> La clasificación de ingresos de los esquemas de financiamiento sirve para conocer los mecanismos de recaudación de una estructura de financiamiento.</w:t>
      </w:r>
    </w:p>
    <w:p w:rsidR="00B0083E" w:rsidRPr="00C778E0" w:rsidRDefault="00652AB2" w:rsidP="00652AB2">
      <w:pPr>
        <w:jc w:val="both"/>
        <w:rPr>
          <w:rFonts w:ascii="Montserrat" w:hAnsi="Montserrat"/>
        </w:rPr>
      </w:pPr>
      <w:r w:rsidRPr="00C778E0">
        <w:rPr>
          <w:rFonts w:ascii="Montserrat" w:hAnsi="Montserrat"/>
        </w:rPr>
        <w:t>Los datos básicos necesarios para realizar los análisis son (i) la cuantía de los fondos que se recaudan; (ii) de qué forma se recaudan; (iii) de qué unidades institucionales de la economía se obtienen los fondos para cada uno de los esquemas de financiamiento; y (iv) qué esquemas de financiamiento los reciben. Por tanto, las cuentas de la salud deben ofrecer información sobre (i) los mecanismos de contribución que usan los esquemas de financiamiento para recaudar sus ingresos; y (ii) las unidades institucionales de la economía de las que proceden dichos ingresos. Por tanto, las fuentes de financiamiento se pueden interpretar de dos formas: como tipos de ingresos y como unidades institucionales.</w:t>
      </w:r>
    </w:p>
    <w:p w:rsidR="00DA6AE0" w:rsidRPr="00C778E0" w:rsidRDefault="00DA6AE0" w:rsidP="00652AB2">
      <w:pPr>
        <w:jc w:val="both"/>
        <w:rPr>
          <w:rFonts w:ascii="Montserrat" w:hAnsi="Montserrat"/>
        </w:rPr>
      </w:pPr>
    </w:p>
    <w:p w:rsidR="00F6641C" w:rsidRPr="00C778E0" w:rsidRDefault="00DA6AE0" w:rsidP="00B0083E">
      <w:pPr>
        <w:jc w:val="both"/>
        <w:rPr>
          <w:rFonts w:ascii="Montserrat" w:hAnsi="Montserrat"/>
          <w:b/>
          <w:color w:val="9D2449" w:themeColor="accent2"/>
        </w:rPr>
      </w:pPr>
      <w:r w:rsidRPr="00C778E0">
        <w:rPr>
          <w:rFonts w:ascii="Montserrat" w:hAnsi="Montserrat"/>
          <w:b/>
          <w:color w:val="9D2449" w:themeColor="accent2"/>
        </w:rPr>
        <w:t>Definición de la Estructura</w:t>
      </w:r>
    </w:p>
    <w:p w:rsidR="00652AB2" w:rsidRPr="00C778E0" w:rsidRDefault="00DA6AE0" w:rsidP="00652AB2">
      <w:pPr>
        <w:jc w:val="both"/>
        <w:rPr>
          <w:rFonts w:ascii="Montserrat" w:hAnsi="Montserrat"/>
        </w:rPr>
      </w:pPr>
      <w:r w:rsidRPr="00C778E0">
        <w:rPr>
          <w:rFonts w:ascii="Montserrat" w:hAnsi="Montserrat"/>
        </w:rPr>
        <w:t xml:space="preserve">El ingreso proviene a de mecanismos específicos de aportación (IVA, ISR, etc.); las </w:t>
      </w:r>
      <w:r w:rsidR="00652AB2" w:rsidRPr="00C778E0">
        <w:rPr>
          <w:rFonts w:ascii="Montserrat" w:hAnsi="Montserrat"/>
        </w:rPr>
        <w:t xml:space="preserve">categorías de </w:t>
      </w:r>
      <w:r w:rsidRPr="00C778E0">
        <w:rPr>
          <w:rFonts w:ascii="Montserrat" w:hAnsi="Montserrat"/>
        </w:rPr>
        <w:t xml:space="preserve">esta </w:t>
      </w:r>
      <w:r w:rsidR="00652AB2" w:rsidRPr="00C778E0">
        <w:rPr>
          <w:rFonts w:ascii="Montserrat" w:hAnsi="Montserrat"/>
        </w:rPr>
        <w:t>clasificación</w:t>
      </w:r>
      <w:r w:rsidRPr="00C778E0">
        <w:rPr>
          <w:rFonts w:ascii="Montserrat" w:hAnsi="Montserrat"/>
        </w:rPr>
        <w:t xml:space="preserve"> se refieren a</w:t>
      </w:r>
      <w:r w:rsidR="00652AB2" w:rsidRPr="00C778E0">
        <w:rPr>
          <w:rFonts w:ascii="Montserrat" w:hAnsi="Montserrat"/>
        </w:rPr>
        <w:t xml:space="preserve"> los distintos tipos d</w:t>
      </w:r>
      <w:r w:rsidRPr="00C778E0">
        <w:rPr>
          <w:rFonts w:ascii="Montserrat" w:hAnsi="Montserrat"/>
        </w:rPr>
        <w:t xml:space="preserve">e transacciones a través de las </w:t>
      </w:r>
      <w:r w:rsidR="00652AB2" w:rsidRPr="00C778E0">
        <w:rPr>
          <w:rFonts w:ascii="Montserrat" w:hAnsi="Montserrat"/>
        </w:rPr>
        <w:t>cuales los esquemas de financ</w:t>
      </w:r>
      <w:r w:rsidRPr="00C778E0">
        <w:rPr>
          <w:rFonts w:ascii="Montserrat" w:hAnsi="Montserrat"/>
        </w:rPr>
        <w:t xml:space="preserve">iamiento obtienen sus ingresos. </w:t>
      </w:r>
      <w:r w:rsidR="00652AB2" w:rsidRPr="00C778E0">
        <w:rPr>
          <w:rFonts w:ascii="Montserrat" w:hAnsi="Montserrat"/>
        </w:rPr>
        <w:t>El objetivo de esta clasificación e</w:t>
      </w:r>
      <w:r w:rsidRPr="00C778E0">
        <w:rPr>
          <w:rFonts w:ascii="Montserrat" w:hAnsi="Montserrat"/>
        </w:rPr>
        <w:t>s agrupar los tipos de ingresos</w:t>
      </w:r>
      <w:r w:rsidR="00652AB2" w:rsidRPr="00C778E0">
        <w:rPr>
          <w:rFonts w:ascii="Montserrat" w:hAnsi="Montserrat"/>
        </w:rPr>
        <w:t xml:space="preserve"> de los</w:t>
      </w:r>
      <w:r w:rsidRPr="00C778E0">
        <w:rPr>
          <w:rFonts w:ascii="Montserrat" w:hAnsi="Montserrat"/>
        </w:rPr>
        <w:t xml:space="preserve"> </w:t>
      </w:r>
      <w:r w:rsidR="00652AB2" w:rsidRPr="00C778E0">
        <w:rPr>
          <w:rFonts w:ascii="Montserrat" w:hAnsi="Montserrat"/>
        </w:rPr>
        <w:t>esquemas de financiam</w:t>
      </w:r>
      <w:r w:rsidRPr="00C778E0">
        <w:rPr>
          <w:rFonts w:ascii="Montserrat" w:hAnsi="Montserrat"/>
        </w:rPr>
        <w:t xml:space="preserve">iento en categorías excluyentes, que a su vez </w:t>
      </w:r>
      <w:r w:rsidR="00652AB2" w:rsidRPr="00C778E0">
        <w:rPr>
          <w:rFonts w:ascii="Montserrat" w:hAnsi="Montserrat"/>
        </w:rPr>
        <w:t>se puede dividir en subcategorías que definan quien (o qué</w:t>
      </w:r>
      <w:r w:rsidRPr="00C778E0">
        <w:rPr>
          <w:rFonts w:ascii="Montserrat" w:hAnsi="Montserrat"/>
        </w:rPr>
        <w:t xml:space="preserve"> </w:t>
      </w:r>
      <w:r w:rsidR="00652AB2" w:rsidRPr="00C778E0">
        <w:rPr>
          <w:rFonts w:ascii="Montserrat" w:hAnsi="Montserrat"/>
        </w:rPr>
        <w:t>sector institucional) aporta el ingreso determinado. (Por ejemplo, el pre-pago</w:t>
      </w:r>
      <w:r w:rsidRPr="00C778E0">
        <w:rPr>
          <w:rFonts w:ascii="Montserrat" w:hAnsi="Montserrat"/>
        </w:rPr>
        <w:t xml:space="preserve"> </w:t>
      </w:r>
      <w:r w:rsidR="00652AB2" w:rsidRPr="00C778E0">
        <w:rPr>
          <w:rFonts w:ascii="Montserrat" w:hAnsi="Montserrat"/>
        </w:rPr>
        <w:t>voluntario como categoría de ingresos en los esquemas de financiamiento tiene</w:t>
      </w:r>
      <w:r w:rsidRPr="00C778E0">
        <w:rPr>
          <w:rFonts w:ascii="Montserrat" w:hAnsi="Montserrat"/>
        </w:rPr>
        <w:t xml:space="preserve"> </w:t>
      </w:r>
      <w:r w:rsidR="00652AB2" w:rsidRPr="00C778E0">
        <w:rPr>
          <w:rFonts w:ascii="Montserrat" w:hAnsi="Montserrat"/>
        </w:rPr>
        <w:t>dos subcategorías: pre-pago voluntario de los hogares, pre-pago voluntario de los</w:t>
      </w:r>
      <w:r w:rsidRPr="00C778E0">
        <w:rPr>
          <w:rFonts w:ascii="Montserrat" w:hAnsi="Montserrat"/>
        </w:rPr>
        <w:t xml:space="preserve"> </w:t>
      </w:r>
      <w:r w:rsidR="00652AB2" w:rsidRPr="00C778E0">
        <w:rPr>
          <w:rFonts w:ascii="Montserrat" w:hAnsi="Montserrat"/>
        </w:rPr>
        <w:t>empleadores, etc.)</w:t>
      </w:r>
    </w:p>
    <w:p w:rsidR="002968A3" w:rsidRPr="00C778E0" w:rsidRDefault="00652AB2" w:rsidP="00652AB2">
      <w:pPr>
        <w:jc w:val="both"/>
        <w:rPr>
          <w:rFonts w:ascii="Montserrat" w:hAnsi="Montserrat"/>
          <w:b/>
        </w:rPr>
      </w:pPr>
      <w:r w:rsidRPr="00C778E0">
        <w:rPr>
          <w:rFonts w:ascii="Montserrat" w:hAnsi="Montserrat"/>
        </w:rPr>
        <w:t>Los ingresos también pueden proced</w:t>
      </w:r>
      <w:r w:rsidR="002968A3" w:rsidRPr="00C778E0">
        <w:rPr>
          <w:rFonts w:ascii="Montserrat" w:hAnsi="Montserrat"/>
        </w:rPr>
        <w:t xml:space="preserve">er de transferencias en especie </w:t>
      </w:r>
      <w:r w:rsidRPr="00C778E0">
        <w:rPr>
          <w:rFonts w:ascii="Montserrat" w:hAnsi="Montserrat"/>
        </w:rPr>
        <w:t>(por ejemplo, ayuda extranjera en especie a</w:t>
      </w:r>
      <w:r w:rsidR="002968A3" w:rsidRPr="00C778E0">
        <w:rPr>
          <w:rFonts w:ascii="Montserrat" w:hAnsi="Montserrat"/>
        </w:rPr>
        <w:t xml:space="preserve"> los esquemas de financiamiento gubernamentales). </w:t>
      </w:r>
      <w:r w:rsidRPr="00C778E0">
        <w:rPr>
          <w:rFonts w:ascii="Montserrat" w:hAnsi="Montserrat"/>
        </w:rPr>
        <w:t>En varios países las administraciones de la se</w:t>
      </w:r>
      <w:r w:rsidR="002968A3" w:rsidRPr="00C778E0">
        <w:rPr>
          <w:rFonts w:ascii="Montserrat" w:hAnsi="Montserrat"/>
        </w:rPr>
        <w:t xml:space="preserve">guridad social, o las compañías </w:t>
      </w:r>
      <w:r w:rsidRPr="00C778E0">
        <w:rPr>
          <w:rFonts w:ascii="Montserrat" w:hAnsi="Montserrat"/>
        </w:rPr>
        <w:t>privadas de seguros son agentes de financiamie</w:t>
      </w:r>
      <w:r w:rsidR="002968A3" w:rsidRPr="00C778E0">
        <w:rPr>
          <w:rFonts w:ascii="Montserrat" w:hAnsi="Montserrat"/>
        </w:rPr>
        <w:t xml:space="preserve">nto no sólo del seguro de salud </w:t>
      </w:r>
      <w:r w:rsidRPr="00C778E0">
        <w:rPr>
          <w:rFonts w:ascii="Montserrat" w:hAnsi="Montserrat"/>
        </w:rPr>
        <w:t>(sino también de las pensiones, desempleo o vivienda). En tales casos, sólo hay que</w:t>
      </w:r>
      <w:r w:rsidR="002968A3" w:rsidRPr="00C778E0">
        <w:rPr>
          <w:rFonts w:ascii="Montserrat" w:hAnsi="Montserrat"/>
        </w:rPr>
        <w:t xml:space="preserve"> </w:t>
      </w:r>
      <w:r w:rsidRPr="00C778E0">
        <w:rPr>
          <w:rFonts w:ascii="Montserrat" w:hAnsi="Montserrat"/>
        </w:rPr>
        <w:t xml:space="preserve">contabilizar los ingresos correspondientes a salud. </w:t>
      </w:r>
    </w:p>
    <w:p w:rsidR="00652AB2" w:rsidRDefault="00FA0587" w:rsidP="00652AB2">
      <w:pPr>
        <w:jc w:val="both"/>
        <w:rPr>
          <w:rFonts w:ascii="Montserrat" w:hAnsi="Montserrat"/>
        </w:rPr>
      </w:pPr>
      <w:r w:rsidRPr="00C778E0">
        <w:rPr>
          <w:rFonts w:ascii="Montserrat" w:hAnsi="Montserrat"/>
        </w:rPr>
        <w:t>En el</w:t>
      </w:r>
      <w:r w:rsidR="002968A3" w:rsidRPr="00C778E0">
        <w:rPr>
          <w:rFonts w:ascii="Montserrat" w:hAnsi="Montserrat"/>
        </w:rPr>
        <w:t xml:space="preserve"> Cuadro No 1</w:t>
      </w:r>
      <w:r w:rsidR="00652AB2" w:rsidRPr="00C778E0">
        <w:rPr>
          <w:rFonts w:ascii="Montserrat" w:hAnsi="Montserrat"/>
        </w:rPr>
        <w:t xml:space="preserve"> </w:t>
      </w:r>
      <w:r w:rsidR="002968A3" w:rsidRPr="00C778E0">
        <w:rPr>
          <w:rFonts w:ascii="Montserrat" w:hAnsi="Montserrat"/>
        </w:rPr>
        <w:t xml:space="preserve">se </w:t>
      </w:r>
      <w:r w:rsidR="00652AB2" w:rsidRPr="00C778E0">
        <w:rPr>
          <w:rFonts w:ascii="Montserrat" w:hAnsi="Montserrat"/>
        </w:rPr>
        <w:t xml:space="preserve">presenta la clasificación de </w:t>
      </w:r>
      <w:r w:rsidR="002968A3" w:rsidRPr="00C778E0">
        <w:rPr>
          <w:rFonts w:ascii="Montserrat" w:hAnsi="Montserrat"/>
        </w:rPr>
        <w:t xml:space="preserve">los ingresos de los esquemas de </w:t>
      </w:r>
      <w:r w:rsidR="00652AB2" w:rsidRPr="00C778E0">
        <w:rPr>
          <w:rFonts w:ascii="Montserrat" w:hAnsi="Montserrat"/>
        </w:rPr>
        <w:t>financiamiento y a continuación se explica</w:t>
      </w:r>
      <w:r w:rsidR="002968A3" w:rsidRPr="00C778E0">
        <w:rPr>
          <w:rFonts w:ascii="Montserrat" w:hAnsi="Montserrat"/>
        </w:rPr>
        <w:t>n algunas de las categorías más importantes.</w:t>
      </w:r>
    </w:p>
    <w:p w:rsidR="00C778E0" w:rsidRDefault="00C778E0" w:rsidP="00652AB2">
      <w:pPr>
        <w:jc w:val="both"/>
        <w:rPr>
          <w:rFonts w:ascii="Montserrat" w:hAnsi="Montserrat"/>
        </w:rPr>
      </w:pPr>
    </w:p>
    <w:p w:rsidR="000B5FC0" w:rsidRDefault="000B5FC0" w:rsidP="00652AB2">
      <w:pPr>
        <w:jc w:val="both"/>
        <w:rPr>
          <w:rFonts w:ascii="Montserrat" w:hAnsi="Montserrat"/>
        </w:rPr>
      </w:pPr>
    </w:p>
    <w:p w:rsidR="000B5FC0" w:rsidRPr="00C778E0" w:rsidRDefault="000B5FC0" w:rsidP="00652AB2">
      <w:pPr>
        <w:jc w:val="both"/>
        <w:rPr>
          <w:rFonts w:ascii="Montserrat" w:hAnsi="Montserrat"/>
        </w:rPr>
      </w:pPr>
    </w:p>
    <w:p w:rsidR="00F36B59" w:rsidRPr="00C778E0" w:rsidRDefault="00F36B59" w:rsidP="00C778E0">
      <w:pPr>
        <w:jc w:val="center"/>
        <w:rPr>
          <w:rFonts w:ascii="Montserrat" w:hAnsi="Montserrat"/>
          <w:b/>
          <w:color w:val="B8985B" w:themeColor="accent5" w:themeShade="BF"/>
        </w:rPr>
      </w:pPr>
      <w:r w:rsidRPr="00C778E0">
        <w:rPr>
          <w:rFonts w:ascii="Montserrat" w:hAnsi="Montserrat"/>
          <w:b/>
          <w:color w:val="B8985B" w:themeColor="accent5" w:themeShade="BF"/>
        </w:rPr>
        <w:lastRenderedPageBreak/>
        <w:t>Cuadro No 1: Clasificación de los Ingresos de los Esquemas de Financiamiento</w:t>
      </w:r>
    </w:p>
    <w:tbl>
      <w:tblPr>
        <w:tblStyle w:val="Tablaconcuadrcula"/>
        <w:tblW w:w="0" w:type="auto"/>
        <w:tblLayout w:type="fixed"/>
        <w:tblLook w:val="04A0" w:firstRow="1" w:lastRow="0" w:firstColumn="1" w:lastColumn="0" w:noHBand="0" w:noVBand="1"/>
      </w:tblPr>
      <w:tblGrid>
        <w:gridCol w:w="846"/>
        <w:gridCol w:w="992"/>
        <w:gridCol w:w="992"/>
        <w:gridCol w:w="993"/>
        <w:gridCol w:w="6139"/>
      </w:tblGrid>
      <w:tr w:rsidR="00F36B59" w:rsidRPr="00C778E0" w:rsidTr="00C778E0">
        <w:tc>
          <w:tcPr>
            <w:tcW w:w="846"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CveI_D1</w:t>
            </w:r>
          </w:p>
        </w:tc>
        <w:tc>
          <w:tcPr>
            <w:tcW w:w="992"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CveI_D2</w:t>
            </w:r>
          </w:p>
        </w:tc>
        <w:tc>
          <w:tcPr>
            <w:tcW w:w="992"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CveI_D3</w:t>
            </w:r>
          </w:p>
        </w:tc>
        <w:tc>
          <w:tcPr>
            <w:tcW w:w="993"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CveI_D4</w:t>
            </w:r>
          </w:p>
        </w:tc>
        <w:tc>
          <w:tcPr>
            <w:tcW w:w="6139" w:type="dxa"/>
            <w:shd w:val="clear" w:color="auto" w:fill="285C4D" w:themeFill="accent1"/>
            <w:vAlign w:val="center"/>
          </w:tcPr>
          <w:p w:rsidR="00F36B59" w:rsidRPr="00C778E0" w:rsidRDefault="00F36B59" w:rsidP="00C778E0">
            <w:pPr>
              <w:jc w:val="center"/>
              <w:rPr>
                <w:rFonts w:ascii="Montserrat" w:hAnsi="Montserrat"/>
                <w:bCs/>
                <w:color w:val="000000"/>
                <w:sz w:val="16"/>
                <w:szCs w:val="16"/>
              </w:rPr>
            </w:pPr>
            <w:r w:rsidRPr="00C778E0">
              <w:rPr>
                <w:rFonts w:ascii="Montserrat" w:hAnsi="Montserrat"/>
                <w:bCs/>
                <w:color w:val="FFFFFF"/>
                <w:sz w:val="16"/>
                <w:szCs w:val="16"/>
              </w:rPr>
              <w:t>Denominación</w:t>
            </w:r>
          </w:p>
        </w:tc>
      </w:tr>
      <w:tr w:rsidR="002968A3" w:rsidRPr="00C778E0" w:rsidTr="00C778E0">
        <w:tc>
          <w:tcPr>
            <w:tcW w:w="846" w:type="dxa"/>
            <w:vAlign w:val="center"/>
          </w:tcPr>
          <w:p w:rsidR="002968A3" w:rsidRPr="00C778E0" w:rsidRDefault="002968A3" w:rsidP="00C778E0">
            <w:pPr>
              <w:jc w:val="center"/>
              <w:rPr>
                <w:rFonts w:ascii="Montserrat" w:hAnsi="Montserrat"/>
                <w:bCs/>
                <w:color w:val="000000"/>
                <w:sz w:val="16"/>
                <w:szCs w:val="16"/>
              </w:rPr>
            </w:pPr>
            <w:r w:rsidRPr="00C778E0">
              <w:rPr>
                <w:rFonts w:ascii="Montserrat" w:hAnsi="Montserrat"/>
                <w:bCs/>
                <w:color w:val="000000"/>
                <w:sz w:val="16"/>
                <w:szCs w:val="16"/>
              </w:rPr>
              <w:t>FS</w:t>
            </w:r>
          </w:p>
        </w:tc>
        <w:tc>
          <w:tcPr>
            <w:tcW w:w="992" w:type="dxa"/>
            <w:vAlign w:val="center"/>
          </w:tcPr>
          <w:p w:rsidR="002968A3" w:rsidRPr="00C778E0" w:rsidRDefault="002968A3" w:rsidP="00C778E0">
            <w:pPr>
              <w:jc w:val="center"/>
              <w:rPr>
                <w:rFonts w:ascii="Montserrat" w:hAnsi="Montserrat"/>
                <w:bCs/>
                <w:color w:val="000000"/>
                <w:sz w:val="16"/>
                <w:szCs w:val="16"/>
              </w:rPr>
            </w:pPr>
          </w:p>
        </w:tc>
        <w:tc>
          <w:tcPr>
            <w:tcW w:w="992" w:type="dxa"/>
            <w:vAlign w:val="center"/>
          </w:tcPr>
          <w:p w:rsidR="002968A3" w:rsidRPr="00C778E0" w:rsidRDefault="002968A3" w:rsidP="00C778E0">
            <w:pPr>
              <w:jc w:val="center"/>
              <w:rPr>
                <w:rFonts w:ascii="Montserrat" w:hAnsi="Montserrat"/>
                <w:bCs/>
                <w:color w:val="000000"/>
                <w:sz w:val="16"/>
                <w:szCs w:val="16"/>
              </w:rPr>
            </w:pPr>
          </w:p>
        </w:tc>
        <w:tc>
          <w:tcPr>
            <w:tcW w:w="993" w:type="dxa"/>
            <w:vAlign w:val="center"/>
          </w:tcPr>
          <w:p w:rsidR="002968A3" w:rsidRPr="00C778E0" w:rsidRDefault="002968A3" w:rsidP="00C778E0">
            <w:pPr>
              <w:jc w:val="center"/>
              <w:rPr>
                <w:rFonts w:ascii="Montserrat" w:hAnsi="Montserrat"/>
                <w:bCs/>
                <w:color w:val="000000"/>
                <w:sz w:val="16"/>
                <w:szCs w:val="16"/>
              </w:rPr>
            </w:pPr>
          </w:p>
        </w:tc>
        <w:tc>
          <w:tcPr>
            <w:tcW w:w="6139" w:type="dxa"/>
            <w:vAlign w:val="center"/>
          </w:tcPr>
          <w:p w:rsidR="002968A3" w:rsidRPr="00C778E0" w:rsidRDefault="002968A3" w:rsidP="00C778E0">
            <w:pPr>
              <w:jc w:val="center"/>
              <w:rPr>
                <w:rFonts w:ascii="Montserrat" w:hAnsi="Montserrat"/>
                <w:bCs/>
                <w:color w:val="000000"/>
                <w:sz w:val="16"/>
                <w:szCs w:val="16"/>
              </w:rPr>
            </w:pPr>
            <w:r w:rsidRPr="00C778E0">
              <w:rPr>
                <w:rFonts w:ascii="Montserrat" w:hAnsi="Montserrat"/>
                <w:bCs/>
                <w:color w:val="000000"/>
                <w:sz w:val="16"/>
                <w:szCs w:val="16"/>
              </w:rPr>
              <w:t>Ingresos Totales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FS.1</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Transferencias de los ingresos públicos internos (para la salud)</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y donaciones internas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 1.2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del gobierno a grupos específicos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Subsidios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transferencias de los ingresos públicos internos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FS.2</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Transferencias de origen extranjero distribuidas por el gobierno</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FS.3</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Cotizaciones a la seguridad social</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Cotizaciones a la seguridad de los trabajadores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Cotizaciones a la seguridad de los empleadores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xml:space="preserve">Cotizaciones a la seguridad social de los trabajadores </w:t>
            </w:r>
            <w:proofErr w:type="spellStart"/>
            <w:r w:rsidRPr="00C778E0">
              <w:rPr>
                <w:rFonts w:ascii="Montserrat" w:hAnsi="Montserrat"/>
                <w:color w:val="000000"/>
                <w:sz w:val="16"/>
                <w:szCs w:val="16"/>
              </w:rPr>
              <w:t>autoempleados</w:t>
            </w:r>
            <w:proofErr w:type="spellEnd"/>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cotizaciones a la seguridad social</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FS.4</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Pre-pago obligatorio (excluidos los de FS.3)</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obligatorio de personas y hogares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obligatorio de empleadores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Otros pre-pagos obligatorios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FS.5</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Pre-pago voluntarios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voluntario de personas y hogares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voluntario de empleadores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Otros pre-pagos voluntarios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FS.6</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xml:space="preserve">Otros ingresos internos </w:t>
            </w:r>
            <w:proofErr w:type="spellStart"/>
            <w:r w:rsidRPr="00C778E0">
              <w:rPr>
                <w:rFonts w:ascii="Montserrat" w:hAnsi="Montserrat"/>
                <w:b/>
                <w:bCs/>
                <w:color w:val="000000"/>
                <w:sz w:val="16"/>
                <w:szCs w:val="16"/>
              </w:rPr>
              <w:t>n.e.p</w:t>
            </w:r>
            <w:proofErr w:type="spellEnd"/>
            <w:r w:rsidRPr="00C778E0">
              <w:rPr>
                <w:rFonts w:ascii="Montserrat" w:hAnsi="Montserrat"/>
                <w:b/>
                <w:bCs/>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xml:space="preserve">Otros ingresos de hogares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xml:space="preserve">Otros ingresos de empresas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xml:space="preserve">Otros ingresos de ISFLSH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FS.7</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Transferencias externas directas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financieras externas directas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FS.7.1.1</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w:t>
            </w:r>
            <w:r w:rsidR="00F36B59" w:rsidRPr="00C778E0">
              <w:rPr>
                <w:rFonts w:ascii="Montserrat" w:hAnsi="Montserrat"/>
                <w:color w:val="000000"/>
                <w:sz w:val="16"/>
                <w:szCs w:val="16"/>
              </w:rPr>
              <w:t>r</w:t>
            </w:r>
            <w:r w:rsidRPr="00C778E0">
              <w:rPr>
                <w:rFonts w:ascii="Montserrat" w:hAnsi="Montserrat"/>
                <w:color w:val="000000"/>
                <w:sz w:val="16"/>
                <w:szCs w:val="16"/>
              </w:rPr>
              <w:t>ansferencias financieras directas bilaterales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FS.7.1.2</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financieras directas multilaterales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FS.7.1.3</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transferencias financieras externas directas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externa directa en especie</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externa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FS.7.2.1.1</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bilateral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FS.7.2.1.2</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multilateral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FS.7.2.1.3</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 ayuda directa extranjera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FS.7.2.2</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externa en especie: servicios (incluyendo AT)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transferencias externas directas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F36B59" w:rsidRPr="00C778E0" w:rsidTr="007000D7">
        <w:tc>
          <w:tcPr>
            <w:tcW w:w="9962" w:type="dxa"/>
            <w:gridSpan w:val="5"/>
            <w:vAlign w:val="bottom"/>
          </w:tcPr>
          <w:p w:rsidR="00F36B59" w:rsidRPr="00C778E0" w:rsidRDefault="00F36B59" w:rsidP="00F36B59">
            <w:pPr>
              <w:rPr>
                <w:rFonts w:ascii="Montserrat" w:hAnsi="Montserrat"/>
                <w:color w:val="000000"/>
                <w:sz w:val="16"/>
                <w:szCs w:val="16"/>
              </w:rPr>
            </w:pPr>
            <w:r w:rsidRPr="00C778E0">
              <w:rPr>
                <w:rFonts w:ascii="Montserrat" w:hAnsi="Montserrat"/>
                <w:color w:val="000000"/>
                <w:sz w:val="16"/>
                <w:szCs w:val="16"/>
              </w:rPr>
              <w:t>Partidas debajo de la línea </w:t>
            </w:r>
          </w:p>
        </w:tc>
      </w:tr>
      <w:tr w:rsidR="00F36B59" w:rsidRPr="00C778E0" w:rsidTr="0091127B">
        <w:tc>
          <w:tcPr>
            <w:tcW w:w="9962" w:type="dxa"/>
            <w:gridSpan w:val="5"/>
            <w:vAlign w:val="bottom"/>
          </w:tcPr>
          <w:p w:rsidR="00F36B59" w:rsidRPr="00C778E0" w:rsidRDefault="00F36B59" w:rsidP="002968A3">
            <w:pPr>
              <w:rPr>
                <w:rFonts w:ascii="Montserrat" w:hAnsi="Montserrat"/>
                <w:color w:val="000000"/>
                <w:sz w:val="16"/>
                <w:szCs w:val="16"/>
              </w:rPr>
            </w:pPr>
            <w:r w:rsidRPr="00C778E0">
              <w:rPr>
                <w:rFonts w:ascii="Montserrat" w:hAnsi="Montserrat"/>
                <w:color w:val="000000"/>
                <w:sz w:val="16"/>
                <w:szCs w:val="16"/>
              </w:rPr>
              <w:t>Partidas de notificación</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FS.RI.1</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Unidades institucionales que aportan ingresos a los esquemas de financiamiento</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Gobierno</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Empresas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Hogares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ISFLSH</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Resto del mundo</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FS.RI.2</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Ingresos totales del exterior(FS.2 +FS.7)</w:t>
            </w:r>
          </w:p>
        </w:tc>
      </w:tr>
      <w:tr w:rsidR="00F36B59" w:rsidRPr="00C778E0" w:rsidTr="003400C2">
        <w:tc>
          <w:tcPr>
            <w:tcW w:w="9962" w:type="dxa"/>
            <w:gridSpan w:val="5"/>
            <w:vAlign w:val="bottom"/>
          </w:tcPr>
          <w:p w:rsidR="00F36B59" w:rsidRPr="00C778E0" w:rsidRDefault="00F36B59" w:rsidP="00F36B59">
            <w:pPr>
              <w:rPr>
                <w:rFonts w:ascii="Montserrat" w:hAnsi="Montserrat"/>
                <w:color w:val="000000"/>
                <w:sz w:val="16"/>
                <w:szCs w:val="16"/>
              </w:rPr>
            </w:pPr>
            <w:r w:rsidRPr="00C778E0">
              <w:rPr>
                <w:rFonts w:ascii="Montserrat" w:hAnsi="Montserrat"/>
                <w:color w:val="000000"/>
                <w:sz w:val="16"/>
                <w:szCs w:val="16"/>
              </w:rPr>
              <w:t>FS Partidas relacionadas </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FSR.1</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Préstamos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FSR.1.1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Préstamos del gobierno</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FSR.1.2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Préstamos de las empresas privadas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FSR.2</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Ayudas en especie valoradas por el donante</w:t>
            </w:r>
          </w:p>
        </w:tc>
      </w:tr>
    </w:tbl>
    <w:p w:rsidR="002968A3" w:rsidRPr="00C778E0" w:rsidRDefault="002968A3" w:rsidP="00B0083E">
      <w:pPr>
        <w:jc w:val="both"/>
        <w:rPr>
          <w:rFonts w:ascii="Montserrat" w:hAnsi="Montserrat"/>
          <w:b/>
        </w:rPr>
      </w:pPr>
    </w:p>
    <w:p w:rsidR="00C778E0" w:rsidRDefault="00C778E0" w:rsidP="00B0083E">
      <w:pPr>
        <w:jc w:val="both"/>
        <w:rPr>
          <w:rFonts w:ascii="Montserrat" w:hAnsi="Montserrat"/>
          <w:b/>
        </w:rPr>
      </w:pPr>
    </w:p>
    <w:p w:rsidR="00C778E0" w:rsidRDefault="00C778E0" w:rsidP="00B0083E">
      <w:pPr>
        <w:jc w:val="both"/>
        <w:rPr>
          <w:rFonts w:ascii="Montserrat" w:hAnsi="Montserrat"/>
          <w:b/>
        </w:rPr>
      </w:pPr>
    </w:p>
    <w:p w:rsidR="00C778E0" w:rsidRDefault="00C778E0" w:rsidP="00B0083E">
      <w:pPr>
        <w:jc w:val="both"/>
        <w:rPr>
          <w:rFonts w:ascii="Montserrat" w:hAnsi="Montserrat"/>
          <w:b/>
        </w:rPr>
      </w:pPr>
    </w:p>
    <w:p w:rsidR="00983693" w:rsidRPr="001A0A75" w:rsidRDefault="00983693" w:rsidP="00B0083E">
      <w:pPr>
        <w:jc w:val="both"/>
        <w:rPr>
          <w:rFonts w:ascii="Montserrat" w:hAnsi="Montserrat"/>
          <w:b/>
          <w:color w:val="9D2449" w:themeColor="accent2"/>
        </w:rPr>
      </w:pPr>
      <w:r w:rsidRPr="001A0A75">
        <w:rPr>
          <w:rFonts w:ascii="Montserrat" w:hAnsi="Montserrat"/>
          <w:b/>
          <w:color w:val="9D2449" w:themeColor="accent2"/>
        </w:rPr>
        <w:lastRenderedPageBreak/>
        <w:t>Gasto Público en Salud</w:t>
      </w:r>
    </w:p>
    <w:p w:rsidR="002968A3" w:rsidRDefault="00F36B59" w:rsidP="00B0083E">
      <w:pPr>
        <w:jc w:val="both"/>
        <w:rPr>
          <w:rFonts w:ascii="Montserrat" w:hAnsi="Montserrat"/>
        </w:rPr>
      </w:pPr>
      <w:r w:rsidRPr="00C778E0">
        <w:rPr>
          <w:rFonts w:ascii="Montserrat" w:hAnsi="Montserrat"/>
        </w:rPr>
        <w:t>Para el caso de México las fue</w:t>
      </w:r>
      <w:r w:rsidR="00C0343D">
        <w:rPr>
          <w:rFonts w:ascii="Montserrat" w:hAnsi="Montserrat"/>
        </w:rPr>
        <w:t>ntes de financiamiento destinada</w:t>
      </w:r>
      <w:r w:rsidRPr="00C778E0">
        <w:rPr>
          <w:rFonts w:ascii="Montserrat" w:hAnsi="Montserrat"/>
        </w:rPr>
        <w:t xml:space="preserve">s a la </w:t>
      </w:r>
      <w:r w:rsidR="00983693" w:rsidRPr="00C778E0">
        <w:rPr>
          <w:rFonts w:ascii="Montserrat" w:hAnsi="Montserrat"/>
          <w:b/>
        </w:rPr>
        <w:t>Población Sin Seguridad S</w:t>
      </w:r>
      <w:r w:rsidRPr="00C778E0">
        <w:rPr>
          <w:rFonts w:ascii="Montserrat" w:hAnsi="Montserrat"/>
          <w:b/>
        </w:rPr>
        <w:t>ocial</w:t>
      </w:r>
      <w:r w:rsidRPr="00C778E0">
        <w:rPr>
          <w:rFonts w:ascii="Montserrat" w:hAnsi="Montserrat"/>
        </w:rPr>
        <w:t xml:space="preserve"> </w:t>
      </w:r>
      <w:r w:rsidR="00DC5F5C" w:rsidRPr="00C778E0">
        <w:rPr>
          <w:rFonts w:ascii="Montserrat" w:hAnsi="Montserrat"/>
        </w:rPr>
        <w:t>provienen de los ingresos por impuestos, derechos</w:t>
      </w:r>
      <w:r w:rsidR="00C859F0" w:rsidRPr="00C778E0">
        <w:rPr>
          <w:rFonts w:ascii="Montserrat" w:hAnsi="Montserrat"/>
        </w:rPr>
        <w:t>,</w:t>
      </w:r>
      <w:r w:rsidR="00C0343D">
        <w:rPr>
          <w:rFonts w:ascii="Montserrat" w:hAnsi="Montserrat"/>
        </w:rPr>
        <w:t xml:space="preserve"> aprovechamientos, </w:t>
      </w:r>
      <w:r w:rsidR="00C859F0" w:rsidRPr="00C778E0">
        <w:rPr>
          <w:rFonts w:ascii="Montserrat" w:hAnsi="Montserrat"/>
        </w:rPr>
        <w:t>del gobierno federal y estatal, la equivalencia entre las fuentes financiamiento</w:t>
      </w:r>
      <w:r w:rsidR="003B1B81">
        <w:rPr>
          <w:rFonts w:ascii="Montserrat" w:hAnsi="Montserrat"/>
        </w:rPr>
        <w:t xml:space="preserve"> reportadas por el REPSS,</w:t>
      </w:r>
      <w:r w:rsidR="00C859F0" w:rsidRPr="00C778E0">
        <w:rPr>
          <w:rFonts w:ascii="Montserrat" w:hAnsi="Montserrat"/>
        </w:rPr>
        <w:t xml:space="preserve"> y el clasificador de los ingresos de los esquemas de financiamiento se presenta en Cuadro No 2.</w:t>
      </w:r>
    </w:p>
    <w:p w:rsidR="00B54F21" w:rsidRDefault="00B54F21" w:rsidP="00B0083E">
      <w:pPr>
        <w:jc w:val="both"/>
        <w:rPr>
          <w:rFonts w:ascii="Montserrat" w:hAnsi="Montserrat"/>
        </w:rPr>
      </w:pPr>
    </w:p>
    <w:p w:rsidR="00B54F21" w:rsidRPr="00C778E0" w:rsidRDefault="00B54F21" w:rsidP="00B0083E">
      <w:pPr>
        <w:jc w:val="both"/>
        <w:rPr>
          <w:rFonts w:ascii="Montserrat" w:hAnsi="Montserrat"/>
        </w:rPr>
      </w:pPr>
    </w:p>
    <w:p w:rsidR="00E5434E" w:rsidRDefault="00983693" w:rsidP="00983693">
      <w:pPr>
        <w:jc w:val="center"/>
        <w:rPr>
          <w:rFonts w:ascii="Montserrat" w:hAnsi="Montserrat"/>
          <w:b/>
          <w:color w:val="B8985B" w:themeColor="accent5" w:themeShade="BF"/>
        </w:rPr>
      </w:pPr>
      <w:r w:rsidRPr="00C778E0">
        <w:rPr>
          <w:rFonts w:ascii="Montserrat" w:hAnsi="Montserrat"/>
          <w:b/>
          <w:color w:val="B8985B" w:themeColor="accent5" w:themeShade="BF"/>
        </w:rPr>
        <w:t>Cuadro No 2</w:t>
      </w:r>
      <w:r w:rsidR="00E5434E" w:rsidRPr="00C778E0">
        <w:rPr>
          <w:rFonts w:ascii="Montserrat" w:hAnsi="Montserrat"/>
          <w:b/>
          <w:color w:val="B8985B" w:themeColor="accent5" w:themeShade="BF"/>
        </w:rPr>
        <w:t>: Fuentes de Financiamiento y el Clasificador de los Ingresos de los Esquemas de Financiamiento</w:t>
      </w:r>
      <w:r w:rsidR="00C0343D">
        <w:rPr>
          <w:rFonts w:ascii="Montserrat" w:hAnsi="Montserrat"/>
          <w:b/>
          <w:color w:val="B8985B" w:themeColor="accent5" w:themeShade="BF"/>
        </w:rPr>
        <w:t xml:space="preserve"> (FF=FS)</w:t>
      </w:r>
    </w:p>
    <w:tbl>
      <w:tblPr>
        <w:tblW w:w="10809" w:type="dxa"/>
        <w:jc w:val="center"/>
        <w:tblCellMar>
          <w:left w:w="70" w:type="dxa"/>
          <w:right w:w="70" w:type="dxa"/>
        </w:tblCellMar>
        <w:tblLook w:val="04A0" w:firstRow="1" w:lastRow="0" w:firstColumn="1" w:lastColumn="0" w:noHBand="0" w:noVBand="1"/>
      </w:tblPr>
      <w:tblGrid>
        <w:gridCol w:w="1406"/>
        <w:gridCol w:w="2842"/>
        <w:gridCol w:w="1211"/>
        <w:gridCol w:w="757"/>
        <w:gridCol w:w="790"/>
        <w:gridCol w:w="790"/>
        <w:gridCol w:w="805"/>
        <w:gridCol w:w="2208"/>
      </w:tblGrid>
      <w:tr w:rsidR="00C0343D" w:rsidRPr="00C0343D" w:rsidTr="00B54F21">
        <w:trPr>
          <w:trHeight w:val="608"/>
          <w:jc w:val="center"/>
        </w:trPr>
        <w:tc>
          <w:tcPr>
            <w:tcW w:w="1406" w:type="dxa"/>
            <w:tcBorders>
              <w:top w:val="single" w:sz="4" w:space="0" w:color="FFFFFF"/>
              <w:left w:val="single" w:sz="4" w:space="0" w:color="FFFFFF"/>
              <w:bottom w:val="single" w:sz="4" w:space="0" w:color="FFFFFF"/>
              <w:right w:val="single" w:sz="4" w:space="0" w:color="FFFFFF"/>
            </w:tcBorders>
            <w:shd w:val="clear" w:color="000000" w:fill="A6A6A6"/>
            <w:vAlign w:val="center"/>
            <w:hideMark/>
          </w:tcPr>
          <w:p w:rsidR="00C0343D" w:rsidRPr="00C0343D" w:rsidRDefault="00C0343D" w:rsidP="00C0343D">
            <w:pPr>
              <w:spacing w:after="0" w:line="240" w:lineRule="auto"/>
              <w:jc w:val="center"/>
              <w:rPr>
                <w:rFonts w:ascii="Montserrat" w:eastAsia="Times New Roman" w:hAnsi="Montserrat" w:cs="Times New Roman"/>
                <w:color w:val="FFFFFF"/>
                <w:sz w:val="16"/>
                <w:szCs w:val="16"/>
                <w:lang w:eastAsia="es-MX"/>
              </w:rPr>
            </w:pPr>
            <w:r w:rsidRPr="00C0343D">
              <w:rPr>
                <w:rFonts w:ascii="Montserrat" w:eastAsia="Times New Roman" w:hAnsi="Montserrat" w:cs="Times New Roman"/>
                <w:color w:val="FFFFFF"/>
                <w:sz w:val="16"/>
                <w:szCs w:val="16"/>
                <w:lang w:eastAsia="es-MX"/>
              </w:rPr>
              <w:t>Fuente de Financiamiento</w:t>
            </w:r>
          </w:p>
        </w:tc>
        <w:tc>
          <w:tcPr>
            <w:tcW w:w="2842" w:type="dxa"/>
            <w:tcBorders>
              <w:top w:val="single" w:sz="4" w:space="0" w:color="FFFFFF"/>
              <w:left w:val="nil"/>
              <w:bottom w:val="single" w:sz="4" w:space="0" w:color="FFFFFF"/>
              <w:right w:val="single" w:sz="4" w:space="0" w:color="FFFFFF"/>
            </w:tcBorders>
            <w:shd w:val="clear" w:color="000000" w:fill="A6A6A6"/>
            <w:vAlign w:val="center"/>
            <w:hideMark/>
          </w:tcPr>
          <w:p w:rsidR="00C0343D" w:rsidRPr="00C0343D" w:rsidRDefault="00C0343D" w:rsidP="00C0343D">
            <w:pPr>
              <w:spacing w:after="0" w:line="240" w:lineRule="auto"/>
              <w:jc w:val="center"/>
              <w:rPr>
                <w:rFonts w:ascii="Montserrat" w:eastAsia="Times New Roman" w:hAnsi="Montserrat" w:cs="Times New Roman"/>
                <w:color w:val="FFFFFF"/>
                <w:sz w:val="16"/>
                <w:szCs w:val="16"/>
                <w:lang w:eastAsia="es-MX"/>
              </w:rPr>
            </w:pPr>
            <w:r w:rsidRPr="00C0343D">
              <w:rPr>
                <w:rFonts w:ascii="Montserrat" w:eastAsia="Times New Roman" w:hAnsi="Montserrat" w:cs="Times New Roman"/>
                <w:color w:val="FFFFFF"/>
                <w:sz w:val="16"/>
                <w:szCs w:val="16"/>
                <w:lang w:eastAsia="es-MX"/>
              </w:rPr>
              <w:t>Descripción</w:t>
            </w:r>
          </w:p>
        </w:tc>
        <w:tc>
          <w:tcPr>
            <w:tcW w:w="1211" w:type="dxa"/>
            <w:tcBorders>
              <w:top w:val="single" w:sz="4" w:space="0" w:color="FFFFFF"/>
              <w:left w:val="nil"/>
              <w:bottom w:val="single" w:sz="4" w:space="0" w:color="FFFFFF"/>
              <w:right w:val="single" w:sz="4" w:space="0" w:color="FFFFFF"/>
            </w:tcBorders>
            <w:shd w:val="clear" w:color="000000" w:fill="56242A"/>
            <w:vAlign w:val="center"/>
            <w:hideMark/>
          </w:tcPr>
          <w:p w:rsidR="00C0343D" w:rsidRPr="00C0343D" w:rsidRDefault="00C0343D" w:rsidP="00C0343D">
            <w:pPr>
              <w:spacing w:after="0" w:line="240" w:lineRule="auto"/>
              <w:jc w:val="center"/>
              <w:rPr>
                <w:rFonts w:ascii="Montserrat" w:eastAsia="Times New Roman" w:hAnsi="Montserrat" w:cs="Times New Roman"/>
                <w:color w:val="FFFFFF"/>
                <w:sz w:val="16"/>
                <w:szCs w:val="16"/>
                <w:lang w:eastAsia="es-MX"/>
              </w:rPr>
            </w:pPr>
            <w:proofErr w:type="spellStart"/>
            <w:r w:rsidRPr="00C0343D">
              <w:rPr>
                <w:rFonts w:ascii="Montserrat" w:eastAsia="Times New Roman" w:hAnsi="Montserrat" w:cs="Times New Roman"/>
                <w:color w:val="FFFFFF"/>
                <w:sz w:val="16"/>
                <w:szCs w:val="16"/>
                <w:lang w:eastAsia="es-MX"/>
              </w:rPr>
              <w:t>Cve_FF_VM</w:t>
            </w:r>
            <w:proofErr w:type="spellEnd"/>
          </w:p>
        </w:tc>
        <w:tc>
          <w:tcPr>
            <w:tcW w:w="757" w:type="dxa"/>
            <w:tcBorders>
              <w:top w:val="single" w:sz="4" w:space="0" w:color="FFFFFF"/>
              <w:left w:val="nil"/>
              <w:bottom w:val="single" w:sz="4" w:space="0" w:color="FFFFFF"/>
              <w:right w:val="single" w:sz="4" w:space="0" w:color="FFFFFF"/>
            </w:tcBorders>
            <w:shd w:val="clear" w:color="000000" w:fill="002060"/>
            <w:noWrap/>
            <w:vAlign w:val="center"/>
            <w:hideMark/>
          </w:tcPr>
          <w:p w:rsidR="00C0343D" w:rsidRPr="00C0343D" w:rsidRDefault="00C0343D" w:rsidP="00C0343D">
            <w:pPr>
              <w:spacing w:after="0" w:line="240" w:lineRule="auto"/>
              <w:jc w:val="center"/>
              <w:rPr>
                <w:rFonts w:ascii="Montserrat" w:eastAsia="Times New Roman" w:hAnsi="Montserrat" w:cs="Times New Roman"/>
                <w:color w:val="FFFFFF"/>
                <w:sz w:val="16"/>
                <w:szCs w:val="16"/>
                <w:lang w:eastAsia="es-MX"/>
              </w:rPr>
            </w:pPr>
            <w:r w:rsidRPr="00C0343D">
              <w:rPr>
                <w:rFonts w:ascii="Montserrat" w:eastAsia="Times New Roman" w:hAnsi="Montserrat" w:cs="Times New Roman"/>
                <w:color w:val="FFFFFF"/>
                <w:sz w:val="16"/>
                <w:szCs w:val="16"/>
                <w:lang w:eastAsia="es-MX"/>
              </w:rPr>
              <w:t>CveI_D1</w:t>
            </w:r>
          </w:p>
        </w:tc>
        <w:tc>
          <w:tcPr>
            <w:tcW w:w="790" w:type="dxa"/>
            <w:tcBorders>
              <w:top w:val="single" w:sz="4" w:space="0" w:color="FFFFFF"/>
              <w:left w:val="nil"/>
              <w:bottom w:val="single" w:sz="4" w:space="0" w:color="FFFFFF"/>
              <w:right w:val="single" w:sz="4" w:space="0" w:color="FFFFFF"/>
            </w:tcBorders>
            <w:shd w:val="clear" w:color="000000" w:fill="002060"/>
            <w:noWrap/>
            <w:vAlign w:val="center"/>
            <w:hideMark/>
          </w:tcPr>
          <w:p w:rsidR="00C0343D" w:rsidRPr="00C0343D" w:rsidRDefault="00C0343D" w:rsidP="00C0343D">
            <w:pPr>
              <w:spacing w:after="0" w:line="240" w:lineRule="auto"/>
              <w:jc w:val="center"/>
              <w:rPr>
                <w:rFonts w:ascii="Montserrat" w:eastAsia="Times New Roman" w:hAnsi="Montserrat" w:cs="Times New Roman"/>
                <w:color w:val="FFFFFF"/>
                <w:sz w:val="16"/>
                <w:szCs w:val="16"/>
                <w:lang w:eastAsia="es-MX"/>
              </w:rPr>
            </w:pPr>
            <w:r w:rsidRPr="00C0343D">
              <w:rPr>
                <w:rFonts w:ascii="Montserrat" w:eastAsia="Times New Roman" w:hAnsi="Montserrat" w:cs="Times New Roman"/>
                <w:color w:val="FFFFFF"/>
                <w:sz w:val="16"/>
                <w:szCs w:val="16"/>
                <w:lang w:eastAsia="es-MX"/>
              </w:rPr>
              <w:t>CveI_D2</w:t>
            </w:r>
          </w:p>
        </w:tc>
        <w:tc>
          <w:tcPr>
            <w:tcW w:w="790" w:type="dxa"/>
            <w:tcBorders>
              <w:top w:val="single" w:sz="4" w:space="0" w:color="FFFFFF"/>
              <w:left w:val="nil"/>
              <w:bottom w:val="single" w:sz="4" w:space="0" w:color="FFFFFF"/>
              <w:right w:val="single" w:sz="4" w:space="0" w:color="FFFFFF"/>
            </w:tcBorders>
            <w:shd w:val="clear" w:color="000000" w:fill="002060"/>
            <w:noWrap/>
            <w:vAlign w:val="center"/>
            <w:hideMark/>
          </w:tcPr>
          <w:p w:rsidR="00C0343D" w:rsidRPr="00C0343D" w:rsidRDefault="00C0343D" w:rsidP="00C0343D">
            <w:pPr>
              <w:spacing w:after="0" w:line="240" w:lineRule="auto"/>
              <w:jc w:val="center"/>
              <w:rPr>
                <w:rFonts w:ascii="Montserrat" w:eastAsia="Times New Roman" w:hAnsi="Montserrat" w:cs="Times New Roman"/>
                <w:color w:val="FFFFFF"/>
                <w:sz w:val="16"/>
                <w:szCs w:val="16"/>
                <w:lang w:eastAsia="es-MX"/>
              </w:rPr>
            </w:pPr>
            <w:r w:rsidRPr="00C0343D">
              <w:rPr>
                <w:rFonts w:ascii="Montserrat" w:eastAsia="Times New Roman" w:hAnsi="Montserrat" w:cs="Times New Roman"/>
                <w:color w:val="FFFFFF"/>
                <w:sz w:val="16"/>
                <w:szCs w:val="16"/>
                <w:lang w:eastAsia="es-MX"/>
              </w:rPr>
              <w:t>CveI_D3</w:t>
            </w:r>
          </w:p>
        </w:tc>
        <w:tc>
          <w:tcPr>
            <w:tcW w:w="805" w:type="dxa"/>
            <w:tcBorders>
              <w:top w:val="single" w:sz="4" w:space="0" w:color="FFFFFF"/>
              <w:left w:val="nil"/>
              <w:bottom w:val="single" w:sz="4" w:space="0" w:color="FFFFFF"/>
              <w:right w:val="single" w:sz="4" w:space="0" w:color="FFFFFF"/>
            </w:tcBorders>
            <w:shd w:val="clear" w:color="000000" w:fill="002060"/>
            <w:noWrap/>
            <w:vAlign w:val="center"/>
            <w:hideMark/>
          </w:tcPr>
          <w:p w:rsidR="00C0343D" w:rsidRPr="00C0343D" w:rsidRDefault="00C0343D" w:rsidP="00C0343D">
            <w:pPr>
              <w:spacing w:after="0" w:line="240" w:lineRule="auto"/>
              <w:jc w:val="center"/>
              <w:rPr>
                <w:rFonts w:ascii="Montserrat" w:eastAsia="Times New Roman" w:hAnsi="Montserrat" w:cs="Times New Roman"/>
                <w:color w:val="FFFFFF"/>
                <w:sz w:val="16"/>
                <w:szCs w:val="16"/>
                <w:lang w:eastAsia="es-MX"/>
              </w:rPr>
            </w:pPr>
            <w:r w:rsidRPr="00C0343D">
              <w:rPr>
                <w:rFonts w:ascii="Montserrat" w:eastAsia="Times New Roman" w:hAnsi="Montserrat" w:cs="Times New Roman"/>
                <w:color w:val="FFFFFF"/>
                <w:sz w:val="16"/>
                <w:szCs w:val="16"/>
                <w:lang w:eastAsia="es-MX"/>
              </w:rPr>
              <w:t>CveI_D4</w:t>
            </w:r>
          </w:p>
        </w:tc>
        <w:tc>
          <w:tcPr>
            <w:tcW w:w="2208" w:type="dxa"/>
            <w:tcBorders>
              <w:top w:val="single" w:sz="4" w:space="0" w:color="FFFFFF"/>
              <w:left w:val="nil"/>
              <w:bottom w:val="single" w:sz="4" w:space="0" w:color="FFFFFF"/>
              <w:right w:val="single" w:sz="4" w:space="0" w:color="FFFFFF"/>
            </w:tcBorders>
            <w:shd w:val="clear" w:color="000000" w:fill="808080"/>
            <w:noWrap/>
            <w:vAlign w:val="center"/>
            <w:hideMark/>
          </w:tcPr>
          <w:p w:rsidR="00C0343D" w:rsidRPr="00C0343D" w:rsidRDefault="00C0343D" w:rsidP="00C0343D">
            <w:pPr>
              <w:spacing w:after="0" w:line="240" w:lineRule="auto"/>
              <w:jc w:val="center"/>
              <w:rPr>
                <w:rFonts w:ascii="Montserrat" w:eastAsia="Times New Roman" w:hAnsi="Montserrat" w:cs="Times New Roman"/>
                <w:color w:val="FFFFFF"/>
                <w:sz w:val="16"/>
                <w:szCs w:val="16"/>
                <w:lang w:eastAsia="es-MX"/>
              </w:rPr>
            </w:pPr>
            <w:r w:rsidRPr="00C0343D">
              <w:rPr>
                <w:rFonts w:ascii="Montserrat" w:eastAsia="Times New Roman" w:hAnsi="Montserrat" w:cs="Times New Roman"/>
                <w:color w:val="FFFFFF"/>
                <w:sz w:val="16"/>
                <w:szCs w:val="16"/>
                <w:lang w:eastAsia="es-MX"/>
              </w:rPr>
              <w:t xml:space="preserve">Descripción </w:t>
            </w:r>
          </w:p>
        </w:tc>
      </w:tr>
      <w:tr w:rsidR="00C0343D" w:rsidRPr="00C0343D" w:rsidTr="00B54F21">
        <w:trPr>
          <w:trHeight w:val="202"/>
          <w:jc w:val="center"/>
        </w:trPr>
        <w:tc>
          <w:tcPr>
            <w:tcW w:w="1406" w:type="dxa"/>
            <w:vMerge w:val="restart"/>
            <w:tcBorders>
              <w:top w:val="nil"/>
              <w:left w:val="single" w:sz="4" w:space="0" w:color="13322B"/>
              <w:bottom w:val="dashed" w:sz="4" w:space="0" w:color="13322B"/>
              <w:right w:val="single" w:sz="4" w:space="0" w:color="13322B"/>
            </w:tcBorders>
            <w:shd w:val="clear" w:color="000000" w:fill="EEE6D7"/>
            <w:vAlign w:val="center"/>
            <w:hideMark/>
          </w:tcPr>
          <w:p w:rsidR="00C0343D" w:rsidRPr="00C0343D" w:rsidRDefault="00C0343D" w:rsidP="00C0343D">
            <w:pPr>
              <w:spacing w:after="0" w:line="240" w:lineRule="auto"/>
              <w:jc w:val="center"/>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Recurso Federal</w:t>
            </w:r>
          </w:p>
        </w:tc>
        <w:tc>
          <w:tcPr>
            <w:tcW w:w="2842" w:type="dxa"/>
            <w:tcBorders>
              <w:top w:val="nil"/>
              <w:left w:val="nil"/>
              <w:bottom w:val="dashed" w:sz="4" w:space="0" w:color="13322B"/>
              <w:right w:val="single" w:sz="4" w:space="0" w:color="13322B"/>
            </w:tcBorders>
            <w:shd w:val="clear" w:color="auto" w:fill="auto"/>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Seguro Popular- Cuota Social</w:t>
            </w:r>
          </w:p>
        </w:tc>
        <w:tc>
          <w:tcPr>
            <w:tcW w:w="1211" w:type="dxa"/>
            <w:tcBorders>
              <w:top w:val="nil"/>
              <w:left w:val="nil"/>
              <w:bottom w:val="dashed"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A02-CS</w:t>
            </w:r>
          </w:p>
        </w:tc>
        <w:tc>
          <w:tcPr>
            <w:tcW w:w="757" w:type="dxa"/>
            <w:tcBorders>
              <w:top w:val="nil"/>
              <w:left w:val="single" w:sz="4" w:space="0" w:color="003300"/>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Transferencias y donaciones internas</w:t>
            </w:r>
          </w:p>
        </w:tc>
      </w:tr>
      <w:tr w:rsidR="00B54F21" w:rsidRPr="00C0343D" w:rsidTr="00B54F21">
        <w:trPr>
          <w:trHeight w:val="202"/>
          <w:jc w:val="center"/>
        </w:trPr>
        <w:tc>
          <w:tcPr>
            <w:tcW w:w="1406" w:type="dxa"/>
            <w:vMerge/>
            <w:tcBorders>
              <w:top w:val="nil"/>
              <w:left w:val="single" w:sz="4" w:space="0" w:color="13322B"/>
              <w:bottom w:val="dashed" w:sz="4" w:space="0" w:color="13322B"/>
              <w:right w:val="single" w:sz="4" w:space="0" w:color="13322B"/>
            </w:tcBorders>
            <w:vAlign w:val="center"/>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p>
        </w:tc>
        <w:tc>
          <w:tcPr>
            <w:tcW w:w="2842" w:type="dxa"/>
            <w:tcBorders>
              <w:top w:val="nil"/>
              <w:left w:val="nil"/>
              <w:bottom w:val="dashed" w:sz="4" w:space="0" w:color="13322B"/>
              <w:right w:val="single" w:sz="4" w:space="0" w:color="13322B"/>
            </w:tcBorders>
            <w:shd w:val="clear" w:color="auto" w:fill="auto"/>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Seguro Popular - Aportación Solidaria Federal</w:t>
            </w:r>
          </w:p>
        </w:tc>
        <w:tc>
          <w:tcPr>
            <w:tcW w:w="1211" w:type="dxa"/>
            <w:tcBorders>
              <w:top w:val="nil"/>
              <w:left w:val="nil"/>
              <w:bottom w:val="dashed"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A02-ASF</w:t>
            </w:r>
          </w:p>
        </w:tc>
        <w:tc>
          <w:tcPr>
            <w:tcW w:w="757" w:type="dxa"/>
            <w:tcBorders>
              <w:top w:val="nil"/>
              <w:left w:val="single" w:sz="4" w:space="0" w:color="003300"/>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Transferencias y donaciones internas</w:t>
            </w:r>
          </w:p>
        </w:tc>
      </w:tr>
      <w:tr w:rsidR="00B54F21" w:rsidRPr="00C0343D" w:rsidTr="00B54F21">
        <w:trPr>
          <w:trHeight w:val="202"/>
          <w:jc w:val="center"/>
        </w:trPr>
        <w:tc>
          <w:tcPr>
            <w:tcW w:w="1406" w:type="dxa"/>
            <w:vMerge/>
            <w:tcBorders>
              <w:top w:val="nil"/>
              <w:left w:val="single" w:sz="4" w:space="0" w:color="13322B"/>
              <w:bottom w:val="dashed" w:sz="4" w:space="0" w:color="13322B"/>
              <w:right w:val="single" w:sz="4" w:space="0" w:color="13322B"/>
            </w:tcBorders>
            <w:vAlign w:val="center"/>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p>
        </w:tc>
        <w:tc>
          <w:tcPr>
            <w:tcW w:w="2842" w:type="dxa"/>
            <w:tcBorders>
              <w:top w:val="nil"/>
              <w:left w:val="nil"/>
              <w:bottom w:val="dashed" w:sz="4" w:space="0" w:color="13322B"/>
              <w:right w:val="single" w:sz="4" w:space="0" w:color="13322B"/>
            </w:tcBorders>
            <w:shd w:val="clear" w:color="auto" w:fill="auto"/>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Seguro Popular - Fondo para Gastos Catastróficos</w:t>
            </w:r>
          </w:p>
        </w:tc>
        <w:tc>
          <w:tcPr>
            <w:tcW w:w="1211" w:type="dxa"/>
            <w:tcBorders>
              <w:top w:val="nil"/>
              <w:left w:val="nil"/>
              <w:bottom w:val="dashed"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A02-FGC</w:t>
            </w:r>
          </w:p>
        </w:tc>
        <w:tc>
          <w:tcPr>
            <w:tcW w:w="757" w:type="dxa"/>
            <w:tcBorders>
              <w:top w:val="nil"/>
              <w:left w:val="single" w:sz="4" w:space="0" w:color="003300"/>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Transferencias y donaciones internas</w:t>
            </w:r>
          </w:p>
        </w:tc>
      </w:tr>
      <w:tr w:rsidR="00B54F21" w:rsidRPr="00C0343D" w:rsidTr="00B54F21">
        <w:trPr>
          <w:trHeight w:val="202"/>
          <w:jc w:val="center"/>
        </w:trPr>
        <w:tc>
          <w:tcPr>
            <w:tcW w:w="1406" w:type="dxa"/>
            <w:vMerge/>
            <w:tcBorders>
              <w:top w:val="nil"/>
              <w:left w:val="single" w:sz="4" w:space="0" w:color="13322B"/>
              <w:bottom w:val="dashed" w:sz="4" w:space="0" w:color="13322B"/>
              <w:right w:val="single" w:sz="4" w:space="0" w:color="13322B"/>
            </w:tcBorders>
            <w:vAlign w:val="center"/>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p>
        </w:tc>
        <w:tc>
          <w:tcPr>
            <w:tcW w:w="2842" w:type="dxa"/>
            <w:tcBorders>
              <w:top w:val="nil"/>
              <w:left w:val="nil"/>
              <w:bottom w:val="dashed" w:sz="4" w:space="0" w:color="13322B"/>
              <w:right w:val="single" w:sz="4" w:space="0" w:color="13322B"/>
            </w:tcBorders>
            <w:shd w:val="clear" w:color="auto" w:fill="auto"/>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Seguro Popular - Fondo de Previsión Presupuestal</w:t>
            </w:r>
          </w:p>
        </w:tc>
        <w:tc>
          <w:tcPr>
            <w:tcW w:w="1211" w:type="dxa"/>
            <w:tcBorders>
              <w:top w:val="nil"/>
              <w:left w:val="nil"/>
              <w:bottom w:val="dashed"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A02-FPP</w:t>
            </w:r>
          </w:p>
        </w:tc>
        <w:tc>
          <w:tcPr>
            <w:tcW w:w="757" w:type="dxa"/>
            <w:tcBorders>
              <w:top w:val="nil"/>
              <w:left w:val="single" w:sz="4" w:space="0" w:color="003300"/>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Transferencias y donaciones internas</w:t>
            </w:r>
          </w:p>
        </w:tc>
      </w:tr>
      <w:tr w:rsidR="00B54F21" w:rsidRPr="00C0343D" w:rsidTr="00B54F21">
        <w:trPr>
          <w:trHeight w:val="202"/>
          <w:jc w:val="center"/>
        </w:trPr>
        <w:tc>
          <w:tcPr>
            <w:tcW w:w="1406" w:type="dxa"/>
            <w:vMerge/>
            <w:tcBorders>
              <w:top w:val="nil"/>
              <w:left w:val="single" w:sz="4" w:space="0" w:color="13322B"/>
              <w:bottom w:val="dashed" w:sz="4" w:space="0" w:color="13322B"/>
              <w:right w:val="single" w:sz="4" w:space="0" w:color="13322B"/>
            </w:tcBorders>
            <w:vAlign w:val="center"/>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p>
        </w:tc>
        <w:tc>
          <w:tcPr>
            <w:tcW w:w="2842" w:type="dxa"/>
            <w:tcBorders>
              <w:top w:val="nil"/>
              <w:left w:val="nil"/>
              <w:bottom w:val="dashed" w:sz="4" w:space="0" w:color="13322B"/>
              <w:right w:val="single" w:sz="4" w:space="0" w:color="13322B"/>
            </w:tcBorders>
            <w:shd w:val="clear" w:color="auto" w:fill="auto"/>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Seguro Médico Siglo XXI</w:t>
            </w:r>
          </w:p>
        </w:tc>
        <w:tc>
          <w:tcPr>
            <w:tcW w:w="1211" w:type="dxa"/>
            <w:tcBorders>
              <w:top w:val="nil"/>
              <w:left w:val="nil"/>
              <w:bottom w:val="dashed"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A02-SMSXXI</w:t>
            </w:r>
          </w:p>
        </w:tc>
        <w:tc>
          <w:tcPr>
            <w:tcW w:w="757" w:type="dxa"/>
            <w:tcBorders>
              <w:top w:val="nil"/>
              <w:left w:val="single" w:sz="4" w:space="0" w:color="003300"/>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Transferencias y donaciones internas</w:t>
            </w:r>
          </w:p>
        </w:tc>
      </w:tr>
      <w:tr w:rsidR="00B54F21" w:rsidRPr="00C0343D" w:rsidTr="00B54F21">
        <w:trPr>
          <w:trHeight w:val="202"/>
          <w:jc w:val="center"/>
        </w:trPr>
        <w:tc>
          <w:tcPr>
            <w:tcW w:w="1406" w:type="dxa"/>
            <w:vMerge/>
            <w:tcBorders>
              <w:top w:val="nil"/>
              <w:left w:val="single" w:sz="4" w:space="0" w:color="13322B"/>
              <w:bottom w:val="dashed" w:sz="4" w:space="0" w:color="13322B"/>
              <w:right w:val="single" w:sz="4" w:space="0" w:color="13322B"/>
            </w:tcBorders>
            <w:vAlign w:val="center"/>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p>
        </w:tc>
        <w:tc>
          <w:tcPr>
            <w:tcW w:w="2842" w:type="dxa"/>
            <w:tcBorders>
              <w:top w:val="nil"/>
              <w:left w:val="nil"/>
              <w:bottom w:val="dashed" w:sz="4" w:space="0" w:color="13322B"/>
              <w:right w:val="single" w:sz="4" w:space="0" w:color="13322B"/>
            </w:tcBorders>
            <w:shd w:val="clear" w:color="auto" w:fill="auto"/>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IMSS- Bienestar</w:t>
            </w:r>
          </w:p>
        </w:tc>
        <w:tc>
          <w:tcPr>
            <w:tcW w:w="1211" w:type="dxa"/>
            <w:tcBorders>
              <w:top w:val="nil"/>
              <w:left w:val="nil"/>
              <w:bottom w:val="dashed"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A02-IMSSB</w:t>
            </w:r>
          </w:p>
        </w:tc>
        <w:tc>
          <w:tcPr>
            <w:tcW w:w="757" w:type="dxa"/>
            <w:tcBorders>
              <w:top w:val="nil"/>
              <w:left w:val="single" w:sz="4" w:space="0" w:color="003300"/>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Transferencias y donaciones internas</w:t>
            </w:r>
          </w:p>
        </w:tc>
      </w:tr>
      <w:tr w:rsidR="00C0343D" w:rsidRPr="00C0343D" w:rsidTr="00B54F21">
        <w:trPr>
          <w:trHeight w:val="405"/>
          <w:jc w:val="center"/>
        </w:trPr>
        <w:tc>
          <w:tcPr>
            <w:tcW w:w="1406" w:type="dxa"/>
            <w:tcBorders>
              <w:top w:val="nil"/>
              <w:left w:val="single" w:sz="4" w:space="0" w:color="13322B"/>
              <w:bottom w:val="dashed" w:sz="4" w:space="0" w:color="13322B"/>
              <w:right w:val="single" w:sz="4" w:space="0" w:color="13322B"/>
            </w:tcBorders>
            <w:shd w:val="clear" w:color="000000" w:fill="CAE8DF"/>
            <w:vAlign w:val="center"/>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Recurso Estatal</w:t>
            </w:r>
          </w:p>
        </w:tc>
        <w:tc>
          <w:tcPr>
            <w:tcW w:w="2842" w:type="dxa"/>
            <w:tcBorders>
              <w:top w:val="nil"/>
              <w:left w:val="nil"/>
              <w:bottom w:val="dashed" w:sz="4" w:space="0" w:color="13322B"/>
              <w:right w:val="single" w:sz="4" w:space="0" w:color="13322B"/>
            </w:tcBorders>
            <w:shd w:val="clear" w:color="auto" w:fill="auto"/>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Seguro Popular- Aportación Solidaria Estatal</w:t>
            </w:r>
          </w:p>
        </w:tc>
        <w:tc>
          <w:tcPr>
            <w:tcW w:w="1211" w:type="dxa"/>
            <w:tcBorders>
              <w:top w:val="nil"/>
              <w:left w:val="nil"/>
              <w:bottom w:val="dashed"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A06-ASE</w:t>
            </w:r>
          </w:p>
        </w:tc>
        <w:tc>
          <w:tcPr>
            <w:tcW w:w="757" w:type="dxa"/>
            <w:tcBorders>
              <w:top w:val="nil"/>
              <w:left w:val="single" w:sz="4" w:space="0" w:color="003300"/>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Transferencias y donaciones internas</w:t>
            </w:r>
          </w:p>
        </w:tc>
      </w:tr>
      <w:tr w:rsidR="00C0343D" w:rsidRPr="00C0343D" w:rsidTr="00B54F21">
        <w:trPr>
          <w:trHeight w:val="405"/>
          <w:jc w:val="center"/>
        </w:trPr>
        <w:tc>
          <w:tcPr>
            <w:tcW w:w="1406" w:type="dxa"/>
            <w:tcBorders>
              <w:top w:val="nil"/>
              <w:left w:val="single" w:sz="4" w:space="0" w:color="13322B"/>
              <w:bottom w:val="dashed" w:sz="4" w:space="0" w:color="13322B"/>
              <w:right w:val="single" w:sz="4" w:space="0" w:color="13322B"/>
            </w:tcBorders>
            <w:shd w:val="clear" w:color="000000" w:fill="E8C8CC"/>
            <w:vAlign w:val="center"/>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Recurso Familiar</w:t>
            </w:r>
          </w:p>
        </w:tc>
        <w:tc>
          <w:tcPr>
            <w:tcW w:w="2842" w:type="dxa"/>
            <w:tcBorders>
              <w:top w:val="nil"/>
              <w:left w:val="nil"/>
              <w:bottom w:val="dashed" w:sz="4" w:space="0" w:color="13322B"/>
              <w:right w:val="single" w:sz="4" w:space="0" w:color="13322B"/>
            </w:tcBorders>
            <w:shd w:val="clear" w:color="auto" w:fill="auto"/>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Seguro Popular – Cuota Familiar</w:t>
            </w:r>
          </w:p>
        </w:tc>
        <w:tc>
          <w:tcPr>
            <w:tcW w:w="1211" w:type="dxa"/>
            <w:tcBorders>
              <w:top w:val="nil"/>
              <w:left w:val="nil"/>
              <w:bottom w:val="dashed"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A18-CF</w:t>
            </w:r>
          </w:p>
        </w:tc>
        <w:tc>
          <w:tcPr>
            <w:tcW w:w="757" w:type="dxa"/>
            <w:tcBorders>
              <w:top w:val="nil"/>
              <w:left w:val="single" w:sz="4" w:space="0" w:color="003300"/>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FS.6</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FS.6.1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xml:space="preserve">Otros ingresos de hogares </w:t>
            </w:r>
            <w:proofErr w:type="spellStart"/>
            <w:r w:rsidRPr="00C0343D">
              <w:rPr>
                <w:rFonts w:ascii="Montserrat" w:eastAsia="Times New Roman" w:hAnsi="Montserrat" w:cs="Times New Roman"/>
                <w:color w:val="000000"/>
                <w:sz w:val="16"/>
                <w:szCs w:val="16"/>
                <w:lang w:eastAsia="es-MX"/>
              </w:rPr>
              <w:t>n.e.p</w:t>
            </w:r>
            <w:proofErr w:type="spellEnd"/>
            <w:r w:rsidRPr="00C0343D">
              <w:rPr>
                <w:rFonts w:ascii="Montserrat" w:eastAsia="Times New Roman" w:hAnsi="Montserrat" w:cs="Times New Roman"/>
                <w:color w:val="000000"/>
                <w:sz w:val="16"/>
                <w:szCs w:val="16"/>
                <w:lang w:eastAsia="es-MX"/>
              </w:rPr>
              <w:t>.</w:t>
            </w:r>
          </w:p>
        </w:tc>
      </w:tr>
      <w:tr w:rsidR="00B54F21" w:rsidRPr="00C0343D" w:rsidTr="00B54F21">
        <w:trPr>
          <w:trHeight w:val="202"/>
          <w:jc w:val="center"/>
        </w:trPr>
        <w:tc>
          <w:tcPr>
            <w:tcW w:w="1406" w:type="dxa"/>
            <w:tcBorders>
              <w:top w:val="nil"/>
              <w:left w:val="single" w:sz="4" w:space="0" w:color="13322B"/>
              <w:bottom w:val="dashed"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842" w:type="dxa"/>
            <w:tcBorders>
              <w:top w:val="nil"/>
              <w:left w:val="nil"/>
              <w:bottom w:val="dashed" w:sz="4" w:space="0" w:color="13322B"/>
              <w:right w:val="single" w:sz="4" w:space="0" w:color="13322B"/>
            </w:tcBorders>
            <w:shd w:val="clear" w:color="auto" w:fill="auto"/>
            <w:noWrap/>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Ramo 12 (SALUD)</w:t>
            </w:r>
          </w:p>
        </w:tc>
        <w:tc>
          <w:tcPr>
            <w:tcW w:w="1211" w:type="dxa"/>
            <w:tcBorders>
              <w:top w:val="nil"/>
              <w:left w:val="nil"/>
              <w:bottom w:val="dashed" w:sz="4" w:space="0" w:color="13322B"/>
              <w:right w:val="single" w:sz="4" w:space="0" w:color="13322B"/>
            </w:tcBorders>
            <w:shd w:val="clear" w:color="auto" w:fill="auto"/>
            <w:noWrap/>
            <w:vAlign w:val="center"/>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A02</w:t>
            </w:r>
          </w:p>
        </w:tc>
        <w:tc>
          <w:tcPr>
            <w:tcW w:w="757" w:type="dxa"/>
            <w:tcBorders>
              <w:top w:val="nil"/>
              <w:left w:val="single" w:sz="4" w:space="0" w:color="003300"/>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Transferencias y donaciones internas</w:t>
            </w:r>
          </w:p>
        </w:tc>
      </w:tr>
      <w:tr w:rsidR="00B54F21" w:rsidRPr="00C0343D" w:rsidTr="00B54F21">
        <w:trPr>
          <w:trHeight w:val="202"/>
          <w:jc w:val="center"/>
        </w:trPr>
        <w:tc>
          <w:tcPr>
            <w:tcW w:w="1406" w:type="dxa"/>
            <w:tcBorders>
              <w:top w:val="nil"/>
              <w:left w:val="single" w:sz="4" w:space="0" w:color="13322B"/>
              <w:bottom w:val="dashed"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842" w:type="dxa"/>
            <w:tcBorders>
              <w:top w:val="nil"/>
              <w:left w:val="nil"/>
              <w:bottom w:val="dashed" w:sz="4" w:space="0" w:color="13322B"/>
              <w:right w:val="single" w:sz="4" w:space="0" w:color="13322B"/>
            </w:tcBorders>
            <w:shd w:val="clear" w:color="auto" w:fill="auto"/>
            <w:noWrap/>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Gasto Estatal</w:t>
            </w:r>
          </w:p>
        </w:tc>
        <w:tc>
          <w:tcPr>
            <w:tcW w:w="1211" w:type="dxa"/>
            <w:tcBorders>
              <w:top w:val="nil"/>
              <w:left w:val="nil"/>
              <w:bottom w:val="dashed" w:sz="4" w:space="0" w:color="13322B"/>
              <w:right w:val="single" w:sz="4" w:space="0" w:color="13322B"/>
            </w:tcBorders>
            <w:shd w:val="clear" w:color="auto" w:fill="auto"/>
            <w:noWrap/>
            <w:vAlign w:val="center"/>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A06</w:t>
            </w:r>
          </w:p>
        </w:tc>
        <w:tc>
          <w:tcPr>
            <w:tcW w:w="757" w:type="dxa"/>
            <w:tcBorders>
              <w:top w:val="nil"/>
              <w:left w:val="single" w:sz="4" w:space="0" w:color="003300"/>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FS.1.1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Transferencias y donaciones internas</w:t>
            </w:r>
          </w:p>
        </w:tc>
      </w:tr>
      <w:tr w:rsidR="00B54F21" w:rsidRPr="00C0343D" w:rsidTr="00B54F21">
        <w:trPr>
          <w:trHeight w:val="202"/>
          <w:jc w:val="center"/>
        </w:trPr>
        <w:tc>
          <w:tcPr>
            <w:tcW w:w="1406" w:type="dxa"/>
            <w:tcBorders>
              <w:top w:val="nil"/>
              <w:left w:val="single" w:sz="4" w:space="0" w:color="13322B"/>
              <w:bottom w:val="dashed"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842" w:type="dxa"/>
            <w:tcBorders>
              <w:top w:val="nil"/>
              <w:left w:val="nil"/>
              <w:bottom w:val="dashed" w:sz="4" w:space="0" w:color="13322B"/>
              <w:right w:val="single" w:sz="4" w:space="0" w:color="13322B"/>
            </w:tcBorders>
            <w:shd w:val="clear" w:color="auto" w:fill="auto"/>
            <w:noWrap/>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Cuotas de recuperación</w:t>
            </w:r>
          </w:p>
        </w:tc>
        <w:tc>
          <w:tcPr>
            <w:tcW w:w="1211" w:type="dxa"/>
            <w:tcBorders>
              <w:top w:val="nil"/>
              <w:left w:val="nil"/>
              <w:bottom w:val="dashed" w:sz="4" w:space="0" w:color="13322B"/>
              <w:right w:val="single" w:sz="4" w:space="0" w:color="13322B"/>
            </w:tcBorders>
            <w:shd w:val="clear" w:color="auto" w:fill="auto"/>
            <w:noWrap/>
            <w:vAlign w:val="center"/>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A17</w:t>
            </w:r>
          </w:p>
        </w:tc>
        <w:tc>
          <w:tcPr>
            <w:tcW w:w="757" w:type="dxa"/>
            <w:tcBorders>
              <w:top w:val="nil"/>
              <w:left w:val="single" w:sz="4" w:space="0" w:color="003300"/>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FS.6</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FS.6.1</w:t>
            </w:r>
          </w:p>
        </w:tc>
        <w:tc>
          <w:tcPr>
            <w:tcW w:w="790"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dashed" w:sz="4" w:space="0" w:color="003300"/>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xml:space="preserve">Otros ingresos de hogares </w:t>
            </w:r>
            <w:proofErr w:type="spellStart"/>
            <w:r w:rsidRPr="00C0343D">
              <w:rPr>
                <w:rFonts w:ascii="Montserrat" w:eastAsia="Times New Roman" w:hAnsi="Montserrat" w:cs="Times New Roman"/>
                <w:color w:val="000000"/>
                <w:sz w:val="16"/>
                <w:szCs w:val="16"/>
                <w:lang w:eastAsia="es-MX"/>
              </w:rPr>
              <w:t>n.e.p</w:t>
            </w:r>
            <w:proofErr w:type="spellEnd"/>
            <w:r w:rsidRPr="00C0343D">
              <w:rPr>
                <w:rFonts w:ascii="Montserrat" w:eastAsia="Times New Roman" w:hAnsi="Montserrat" w:cs="Times New Roman"/>
                <w:color w:val="000000"/>
                <w:sz w:val="16"/>
                <w:szCs w:val="16"/>
                <w:lang w:eastAsia="es-MX"/>
              </w:rPr>
              <w:t>.</w:t>
            </w:r>
          </w:p>
        </w:tc>
      </w:tr>
      <w:tr w:rsidR="00B54F21" w:rsidRPr="00C0343D" w:rsidTr="00B54F21">
        <w:trPr>
          <w:trHeight w:val="202"/>
          <w:jc w:val="center"/>
        </w:trPr>
        <w:tc>
          <w:tcPr>
            <w:tcW w:w="1406" w:type="dxa"/>
            <w:tcBorders>
              <w:top w:val="nil"/>
              <w:left w:val="single" w:sz="4" w:space="0" w:color="13322B"/>
              <w:bottom w:val="single" w:sz="4" w:space="0" w:color="13322B"/>
              <w:right w:val="single" w:sz="4" w:space="0" w:color="13322B"/>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842" w:type="dxa"/>
            <w:tcBorders>
              <w:top w:val="nil"/>
              <w:left w:val="nil"/>
              <w:bottom w:val="single" w:sz="4" w:space="0" w:color="13322B"/>
              <w:right w:val="single" w:sz="4" w:space="0" w:color="13322B"/>
            </w:tcBorders>
            <w:shd w:val="clear" w:color="auto" w:fill="auto"/>
            <w:noWrap/>
            <w:vAlign w:val="center"/>
            <w:hideMark/>
          </w:tcPr>
          <w:p w:rsidR="00C0343D" w:rsidRPr="00C0343D" w:rsidRDefault="00C0343D" w:rsidP="00B54F21">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Gasto de Los Hogares</w:t>
            </w:r>
          </w:p>
        </w:tc>
        <w:tc>
          <w:tcPr>
            <w:tcW w:w="1211" w:type="dxa"/>
            <w:tcBorders>
              <w:top w:val="nil"/>
              <w:left w:val="nil"/>
              <w:bottom w:val="single" w:sz="4" w:space="0" w:color="13322B"/>
              <w:right w:val="single" w:sz="4" w:space="0" w:color="13322B"/>
            </w:tcBorders>
            <w:shd w:val="clear" w:color="auto" w:fill="auto"/>
            <w:noWrap/>
            <w:vAlign w:val="center"/>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A18</w:t>
            </w:r>
          </w:p>
        </w:tc>
        <w:tc>
          <w:tcPr>
            <w:tcW w:w="757" w:type="dxa"/>
            <w:tcBorders>
              <w:top w:val="nil"/>
              <w:left w:val="single" w:sz="4" w:space="0" w:color="003300"/>
              <w:bottom w:val="single" w:sz="4" w:space="0" w:color="13322B"/>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FS.6</w:t>
            </w:r>
          </w:p>
        </w:tc>
        <w:tc>
          <w:tcPr>
            <w:tcW w:w="790" w:type="dxa"/>
            <w:tcBorders>
              <w:top w:val="nil"/>
              <w:left w:val="nil"/>
              <w:bottom w:val="single" w:sz="4" w:space="0" w:color="13322B"/>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FS.6.1</w:t>
            </w:r>
          </w:p>
        </w:tc>
        <w:tc>
          <w:tcPr>
            <w:tcW w:w="790" w:type="dxa"/>
            <w:tcBorders>
              <w:top w:val="nil"/>
              <w:left w:val="nil"/>
              <w:bottom w:val="single" w:sz="4" w:space="0" w:color="13322B"/>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805" w:type="dxa"/>
            <w:tcBorders>
              <w:top w:val="nil"/>
              <w:left w:val="nil"/>
              <w:bottom w:val="single" w:sz="4" w:space="0" w:color="13322B"/>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w:t>
            </w:r>
          </w:p>
        </w:tc>
        <w:tc>
          <w:tcPr>
            <w:tcW w:w="2208" w:type="dxa"/>
            <w:tcBorders>
              <w:top w:val="nil"/>
              <w:left w:val="nil"/>
              <w:bottom w:val="single" w:sz="4" w:space="0" w:color="13322B"/>
              <w:right w:val="single" w:sz="4" w:space="0" w:color="003300"/>
            </w:tcBorders>
            <w:shd w:val="clear" w:color="auto" w:fill="auto"/>
            <w:noWrap/>
            <w:vAlign w:val="bottom"/>
            <w:hideMark/>
          </w:tcPr>
          <w:p w:rsidR="00C0343D" w:rsidRPr="00C0343D" w:rsidRDefault="00C0343D" w:rsidP="00C0343D">
            <w:pPr>
              <w:spacing w:after="0" w:line="240" w:lineRule="auto"/>
              <w:rPr>
                <w:rFonts w:ascii="Montserrat" w:eastAsia="Times New Roman" w:hAnsi="Montserrat" w:cs="Times New Roman"/>
                <w:color w:val="000000"/>
                <w:sz w:val="16"/>
                <w:szCs w:val="16"/>
                <w:lang w:eastAsia="es-MX"/>
              </w:rPr>
            </w:pPr>
            <w:r w:rsidRPr="00C0343D">
              <w:rPr>
                <w:rFonts w:ascii="Montserrat" w:eastAsia="Times New Roman" w:hAnsi="Montserrat" w:cs="Times New Roman"/>
                <w:color w:val="000000"/>
                <w:sz w:val="16"/>
                <w:szCs w:val="16"/>
                <w:lang w:eastAsia="es-MX"/>
              </w:rPr>
              <w:t xml:space="preserve">Otros ingresos de hogares </w:t>
            </w:r>
            <w:proofErr w:type="spellStart"/>
            <w:r w:rsidRPr="00C0343D">
              <w:rPr>
                <w:rFonts w:ascii="Montserrat" w:eastAsia="Times New Roman" w:hAnsi="Montserrat" w:cs="Times New Roman"/>
                <w:color w:val="000000"/>
                <w:sz w:val="16"/>
                <w:szCs w:val="16"/>
                <w:lang w:eastAsia="es-MX"/>
              </w:rPr>
              <w:t>n.e.p</w:t>
            </w:r>
            <w:proofErr w:type="spellEnd"/>
            <w:r w:rsidRPr="00C0343D">
              <w:rPr>
                <w:rFonts w:ascii="Montserrat" w:eastAsia="Times New Roman" w:hAnsi="Montserrat" w:cs="Times New Roman"/>
                <w:color w:val="000000"/>
                <w:sz w:val="16"/>
                <w:szCs w:val="16"/>
                <w:lang w:eastAsia="es-MX"/>
              </w:rPr>
              <w:t>.</w:t>
            </w:r>
          </w:p>
        </w:tc>
      </w:tr>
    </w:tbl>
    <w:p w:rsidR="00C0343D" w:rsidRDefault="00C0343D" w:rsidP="00983693">
      <w:pPr>
        <w:jc w:val="center"/>
        <w:rPr>
          <w:rFonts w:ascii="Montserrat" w:hAnsi="Montserrat"/>
          <w:b/>
          <w:color w:val="B8985B" w:themeColor="accent5" w:themeShade="BF"/>
        </w:rPr>
      </w:pPr>
    </w:p>
    <w:p w:rsidR="00C778E0" w:rsidRDefault="00C778E0" w:rsidP="00B0083E">
      <w:pPr>
        <w:jc w:val="both"/>
        <w:rPr>
          <w:rFonts w:ascii="Montserrat" w:hAnsi="Montserrat"/>
        </w:rPr>
      </w:pPr>
    </w:p>
    <w:p w:rsidR="00B54F21" w:rsidRDefault="00B54F21" w:rsidP="00B0083E">
      <w:pPr>
        <w:jc w:val="both"/>
        <w:rPr>
          <w:rFonts w:ascii="Montserrat" w:hAnsi="Montserrat"/>
        </w:rPr>
      </w:pPr>
    </w:p>
    <w:p w:rsidR="00B54F21" w:rsidRDefault="00B54F21" w:rsidP="00B0083E">
      <w:pPr>
        <w:jc w:val="both"/>
        <w:rPr>
          <w:rFonts w:ascii="Montserrat" w:hAnsi="Montserrat"/>
        </w:rPr>
      </w:pPr>
    </w:p>
    <w:p w:rsidR="00B54F21" w:rsidRDefault="00B54F21" w:rsidP="00B0083E">
      <w:pPr>
        <w:jc w:val="both"/>
        <w:rPr>
          <w:rFonts w:ascii="Montserrat" w:hAnsi="Montserrat"/>
        </w:rPr>
      </w:pPr>
    </w:p>
    <w:p w:rsidR="00B54F21" w:rsidRDefault="00B54F21" w:rsidP="00B0083E">
      <w:pPr>
        <w:jc w:val="both"/>
        <w:rPr>
          <w:rFonts w:ascii="Montserrat" w:hAnsi="Montserrat"/>
        </w:rPr>
      </w:pPr>
    </w:p>
    <w:p w:rsidR="00B54F21" w:rsidRDefault="00B54F21" w:rsidP="00B0083E">
      <w:pPr>
        <w:jc w:val="both"/>
        <w:rPr>
          <w:rFonts w:ascii="Montserrat" w:hAnsi="Montserrat"/>
        </w:rPr>
      </w:pPr>
    </w:p>
    <w:p w:rsidR="00B54F21" w:rsidRDefault="00B54F21" w:rsidP="00B0083E">
      <w:pPr>
        <w:jc w:val="both"/>
        <w:rPr>
          <w:rFonts w:ascii="Montserrat" w:hAnsi="Montserrat"/>
        </w:rPr>
      </w:pPr>
    </w:p>
    <w:p w:rsidR="00B54F21" w:rsidRDefault="00B54F21" w:rsidP="00B0083E">
      <w:pPr>
        <w:jc w:val="both"/>
        <w:rPr>
          <w:rFonts w:ascii="Montserrat" w:hAnsi="Montserrat"/>
        </w:rPr>
      </w:pPr>
    </w:p>
    <w:p w:rsidR="00B54F21" w:rsidRDefault="00B54F21" w:rsidP="00B0083E">
      <w:pPr>
        <w:jc w:val="both"/>
        <w:rPr>
          <w:rFonts w:ascii="Montserrat" w:hAnsi="Montserrat"/>
        </w:rPr>
      </w:pPr>
      <w:r>
        <w:rPr>
          <w:rFonts w:ascii="Montserrat" w:hAnsi="Montserrat"/>
        </w:rPr>
        <w:lastRenderedPageBreak/>
        <w:t>Para asignar claves, será necesario auxiliarse de los filtros de Excel aplicados a la columna E, ir seleccionando cada una de las fuentes de financiamiento que se hayan reportado y asignar claves según la equivalencia FF=FS.</w:t>
      </w:r>
    </w:p>
    <w:p w:rsidR="00B54F21" w:rsidRPr="00C778E0" w:rsidRDefault="00B54F21" w:rsidP="00B0083E">
      <w:pPr>
        <w:jc w:val="both"/>
        <w:rPr>
          <w:rFonts w:ascii="Montserrat" w:hAnsi="Montserrat"/>
        </w:rPr>
      </w:pPr>
    </w:p>
    <w:p w:rsidR="00DD3A05" w:rsidRDefault="00B54F21" w:rsidP="00DD3A05">
      <w:pPr>
        <w:jc w:val="center"/>
        <w:rPr>
          <w:rFonts w:ascii="Montserrat" w:hAnsi="Montserrat"/>
          <w:b/>
          <w:color w:val="B8985B" w:themeColor="accent5" w:themeShade="BF"/>
        </w:rPr>
      </w:pPr>
      <w:r>
        <w:rPr>
          <w:noProof/>
          <w:lang w:eastAsia="es-MX"/>
        </w:rPr>
        <w:drawing>
          <wp:anchor distT="0" distB="0" distL="114300" distR="114300" simplePos="0" relativeHeight="251677696" behindDoc="0" locked="0" layoutInCell="1" allowOverlap="1" wp14:anchorId="16E7A329" wp14:editId="4F6B24E0">
            <wp:simplePos x="0" y="0"/>
            <wp:positionH relativeFrom="margin">
              <wp:align>center</wp:align>
            </wp:positionH>
            <wp:positionV relativeFrom="paragraph">
              <wp:posOffset>3334385</wp:posOffset>
            </wp:positionV>
            <wp:extent cx="6386195" cy="2476500"/>
            <wp:effectExtent l="323850" t="323850" r="319405" b="32385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2106" t="17917" r="61041" b="56677"/>
                    <a:stretch/>
                  </pic:blipFill>
                  <pic:spPr bwMode="auto">
                    <a:xfrm>
                      <a:off x="0" y="0"/>
                      <a:ext cx="6386195" cy="247650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D3A05" w:rsidRPr="00C778E0">
        <w:rPr>
          <w:rFonts w:ascii="Montserrat" w:hAnsi="Montserrat"/>
          <w:b/>
          <w:color w:val="B8985B" w:themeColor="accent5" w:themeShade="BF"/>
        </w:rPr>
        <w:t>Figura No. 1 Clasificación de los Ingresos de los Esquemas de Financiamiento SICUENTAS FS</w:t>
      </w:r>
    </w:p>
    <w:p w:rsidR="00B54F21" w:rsidRDefault="00B54F21" w:rsidP="00DD3A05">
      <w:pPr>
        <w:jc w:val="center"/>
        <w:rPr>
          <w:rFonts w:ascii="Montserrat" w:hAnsi="Montserrat"/>
          <w:b/>
          <w:color w:val="B8985B" w:themeColor="accent5" w:themeShade="BF"/>
        </w:rPr>
      </w:pPr>
      <w:r>
        <w:rPr>
          <w:noProof/>
          <w:lang w:eastAsia="es-MX"/>
        </w:rPr>
        <mc:AlternateContent>
          <mc:Choice Requires="wps">
            <w:drawing>
              <wp:anchor distT="0" distB="0" distL="114300" distR="114300" simplePos="0" relativeHeight="251679744" behindDoc="0" locked="0" layoutInCell="1" allowOverlap="1" wp14:anchorId="7BB83972" wp14:editId="6580D135">
                <wp:simplePos x="0" y="0"/>
                <wp:positionH relativeFrom="column">
                  <wp:posOffset>6118860</wp:posOffset>
                </wp:positionH>
                <wp:positionV relativeFrom="paragraph">
                  <wp:posOffset>1541780</wp:posOffset>
                </wp:positionV>
                <wp:extent cx="533400" cy="3676650"/>
                <wp:effectExtent l="19050" t="0" r="19050" b="19050"/>
                <wp:wrapNone/>
                <wp:docPr id="5" name="Flecha curvada hacia la izquierda 5"/>
                <wp:cNvGraphicFramePr/>
                <a:graphic xmlns:a="http://schemas.openxmlformats.org/drawingml/2006/main">
                  <a:graphicData uri="http://schemas.microsoft.com/office/word/2010/wordprocessingShape">
                    <wps:wsp>
                      <wps:cNvSpPr/>
                      <wps:spPr>
                        <a:xfrm>
                          <a:off x="0" y="0"/>
                          <a:ext cx="533400" cy="3676650"/>
                        </a:xfrm>
                        <a:prstGeom prst="curvedLeftArrow">
                          <a:avLst>
                            <a:gd name="adj1" fmla="val 35973"/>
                            <a:gd name="adj2" fmla="val 48221"/>
                            <a:gd name="adj3" fmla="val 17857"/>
                          </a:avLst>
                        </a:prstGeom>
                        <a:solidFill>
                          <a:schemeClr val="accent2"/>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5AACAB5"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Flecha curvada hacia la izquierda 5" o:spid="_x0000_s1026" type="#_x0000_t103" style="position:absolute;margin-left:481.8pt;margin-top:121.4pt;width:42pt;height:289.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" adj="20089,21408,3857" fillcolor="#9d2449 [3205]" strokecolor="#621132 [3215]" strokeweight="1pt"/>
            </w:pict>
          </mc:Fallback>
        </mc:AlternateContent>
      </w:r>
      <w:r>
        <w:rPr>
          <w:noProof/>
          <w:lang w:eastAsia="es-MX"/>
        </w:rPr>
        <w:drawing>
          <wp:inline distT="0" distB="0" distL="0" distR="0" wp14:anchorId="728976B6" wp14:editId="1E9C1077">
            <wp:extent cx="5797924" cy="1895475"/>
            <wp:effectExtent l="323850" t="323850" r="317500" b="3143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204" t="20057" r="44043" b="48119"/>
                    <a:stretch/>
                  </pic:blipFill>
                  <pic:spPr bwMode="auto">
                    <a:xfrm>
                      <a:off x="0" y="0"/>
                      <a:ext cx="5813435" cy="1900546"/>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r>
        <w:rPr>
          <w:noProof/>
          <w:lang w:eastAsia="es-MX"/>
        </w:rPr>
        <mc:AlternateContent>
          <mc:Choice Requires="wps">
            <w:drawing>
              <wp:anchor distT="0" distB="0" distL="114300" distR="114300" simplePos="0" relativeHeight="251678720" behindDoc="0" locked="0" layoutInCell="1" allowOverlap="1" wp14:anchorId="007219F3" wp14:editId="345A3B12">
                <wp:simplePos x="0" y="0"/>
                <wp:positionH relativeFrom="column">
                  <wp:posOffset>6099810</wp:posOffset>
                </wp:positionH>
                <wp:positionV relativeFrom="paragraph">
                  <wp:posOffset>1075055</wp:posOffset>
                </wp:positionV>
                <wp:extent cx="447675" cy="2657475"/>
                <wp:effectExtent l="19050" t="0" r="28575" b="9525"/>
                <wp:wrapNone/>
                <wp:docPr id="3" name="Flecha curvada hacia la izquierda 3"/>
                <wp:cNvGraphicFramePr/>
                <a:graphic xmlns:a="http://schemas.openxmlformats.org/drawingml/2006/main">
                  <a:graphicData uri="http://schemas.microsoft.com/office/word/2010/wordprocessingShape">
                    <wps:wsp>
                      <wps:cNvSpPr/>
                      <wps:spPr>
                        <a:xfrm>
                          <a:off x="0" y="0"/>
                          <a:ext cx="447675" cy="2657475"/>
                        </a:xfrm>
                        <a:prstGeom prst="curved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D045A61" id="Flecha curvada hacia la izquierda 3" o:spid="_x0000_s1026" type="#_x0000_t103" style="position:absolute;margin-left:480.3pt;margin-top:84.65pt;width:35.25pt;height:209.2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" adj="19781,21145,5400" fillcolor="#285c4d [3204]" strokecolor="#142d26 [1604]" strokeweight="1pt"/>
            </w:pict>
          </mc:Fallback>
        </mc:AlternateContent>
      </w:r>
    </w:p>
    <w:p w:rsidR="00B54F21" w:rsidRPr="00C778E0" w:rsidRDefault="00B54F21" w:rsidP="00DD3A05">
      <w:pPr>
        <w:jc w:val="center"/>
        <w:rPr>
          <w:rFonts w:ascii="Montserrat" w:hAnsi="Montserrat"/>
          <w:b/>
          <w:color w:val="B8985B" w:themeColor="accent5" w:themeShade="BF"/>
        </w:rPr>
      </w:pPr>
      <w:bookmarkStart w:id="0" w:name="_GoBack"/>
      <w:bookmarkEnd w:id="0"/>
    </w:p>
    <w:p w:rsidR="004815C3" w:rsidRPr="00C778E0" w:rsidRDefault="004815C3" w:rsidP="00B0083E">
      <w:pPr>
        <w:jc w:val="both"/>
        <w:rPr>
          <w:rFonts w:ascii="Montserrat" w:hAnsi="Montserrat"/>
        </w:rPr>
      </w:pPr>
    </w:p>
    <w:p w:rsidR="00C778E0" w:rsidRDefault="00C778E0" w:rsidP="00B0083E">
      <w:pPr>
        <w:jc w:val="both"/>
        <w:rPr>
          <w:rFonts w:ascii="Montserrat" w:hAnsi="Montserrat"/>
          <w:b/>
        </w:rPr>
      </w:pPr>
    </w:p>
    <w:p w:rsidR="00565D50" w:rsidRDefault="00565D50" w:rsidP="00B0083E">
      <w:pPr>
        <w:jc w:val="both"/>
        <w:rPr>
          <w:rFonts w:ascii="Montserrat" w:hAnsi="Montserrat"/>
          <w:b/>
        </w:rPr>
      </w:pPr>
    </w:p>
    <w:p w:rsidR="00336ABF" w:rsidRPr="001A0A75" w:rsidRDefault="006520C0" w:rsidP="001A0A75">
      <w:pPr>
        <w:pStyle w:val="Prrafodelista"/>
        <w:numPr>
          <w:ilvl w:val="0"/>
          <w:numId w:val="3"/>
        </w:numPr>
        <w:jc w:val="both"/>
        <w:rPr>
          <w:rFonts w:ascii="Montserrat" w:hAnsi="Montserrat"/>
          <w:b/>
          <w:color w:val="13322B" w:themeColor="accent3"/>
          <w:sz w:val="24"/>
          <w:szCs w:val="24"/>
        </w:rPr>
      </w:pPr>
      <w:r w:rsidRPr="001A0A75">
        <w:rPr>
          <w:rFonts w:ascii="Montserrat" w:hAnsi="Montserrat"/>
          <w:b/>
          <w:color w:val="13322B" w:themeColor="accent3"/>
          <w:sz w:val="24"/>
          <w:szCs w:val="24"/>
        </w:rPr>
        <w:lastRenderedPageBreak/>
        <w:t>Glosario</w:t>
      </w:r>
    </w:p>
    <w:p w:rsidR="006520C0" w:rsidRPr="00C778E0" w:rsidRDefault="006520C0" w:rsidP="00336ABF">
      <w:pPr>
        <w:jc w:val="both"/>
        <w:rPr>
          <w:rFonts w:ascii="Montserrat" w:hAnsi="Montserrat"/>
          <w:b/>
        </w:rPr>
      </w:pPr>
    </w:p>
    <w:p w:rsidR="00336ABF" w:rsidRPr="001A0A75" w:rsidRDefault="00336ABF" w:rsidP="00336ABF">
      <w:pPr>
        <w:jc w:val="both"/>
        <w:rPr>
          <w:rFonts w:ascii="Montserrat" w:hAnsi="Montserrat"/>
          <w:b/>
          <w:color w:val="9D2449" w:themeColor="accent2"/>
        </w:rPr>
      </w:pPr>
      <w:r w:rsidRPr="001A0A75">
        <w:rPr>
          <w:rFonts w:ascii="Montserrat" w:hAnsi="Montserrat"/>
          <w:b/>
          <w:color w:val="9D2449" w:themeColor="accent2"/>
        </w:rPr>
        <w:t>FS.1.1 Transferencias y donaciones internas</w:t>
      </w:r>
    </w:p>
    <w:p w:rsidR="00336ABF" w:rsidRPr="00C778E0" w:rsidRDefault="00336ABF" w:rsidP="006520C0">
      <w:pPr>
        <w:jc w:val="both"/>
        <w:rPr>
          <w:rFonts w:ascii="Montserrat" w:hAnsi="Montserrat"/>
        </w:rPr>
      </w:pPr>
      <w:r w:rsidRPr="00C778E0">
        <w:rPr>
          <w:rFonts w:ascii="Montserrat" w:hAnsi="Montserrat"/>
        </w:rPr>
        <w:t>Esta partida refleja las transferencias dentro d</w:t>
      </w:r>
      <w:r w:rsidR="006520C0" w:rsidRPr="00C778E0">
        <w:rPr>
          <w:rFonts w:ascii="Montserrat" w:hAnsi="Montserrat"/>
        </w:rPr>
        <w:t xml:space="preserve">el gobierno central – en países </w:t>
      </w:r>
      <w:r w:rsidRPr="00C778E0">
        <w:rPr>
          <w:rFonts w:ascii="Montserrat" w:hAnsi="Montserrat"/>
        </w:rPr>
        <w:t>con sistemas fiscales descentralizados (en los q</w:t>
      </w:r>
      <w:r w:rsidR="006520C0" w:rsidRPr="00C778E0">
        <w:rPr>
          <w:rFonts w:ascii="Montserrat" w:hAnsi="Montserrat"/>
        </w:rPr>
        <w:t xml:space="preserve">ue el gobierno regional y local también recauda impuestos) – </w:t>
      </w:r>
      <w:r w:rsidRPr="00C778E0">
        <w:rPr>
          <w:rFonts w:ascii="Montserrat" w:hAnsi="Montserrat"/>
        </w:rPr>
        <w:t>transferencias dent</w:t>
      </w:r>
      <w:r w:rsidR="006520C0" w:rsidRPr="00C778E0">
        <w:rPr>
          <w:rFonts w:ascii="Montserrat" w:hAnsi="Montserrat"/>
        </w:rPr>
        <w:t xml:space="preserve">ro del gobierno regional/local; </w:t>
      </w:r>
      <w:r w:rsidRPr="00C778E0">
        <w:rPr>
          <w:rFonts w:ascii="Montserrat" w:hAnsi="Montserrat"/>
        </w:rPr>
        <w:t xml:space="preserve">así como donaciones del gobierno central al local. </w:t>
      </w:r>
      <w:r w:rsidR="006520C0" w:rsidRPr="00C778E0">
        <w:rPr>
          <w:rFonts w:ascii="Montserrat" w:hAnsi="Montserrat"/>
        </w:rPr>
        <w:t xml:space="preserve">Las transferencias internas son </w:t>
      </w:r>
      <w:r w:rsidRPr="00C778E0">
        <w:rPr>
          <w:rFonts w:ascii="Montserrat" w:hAnsi="Montserrat"/>
        </w:rPr>
        <w:t>componentes básicos del presupuesto de los regím</w:t>
      </w:r>
      <w:r w:rsidR="006520C0" w:rsidRPr="00C778E0">
        <w:rPr>
          <w:rFonts w:ascii="Montserrat" w:hAnsi="Montserrat"/>
        </w:rPr>
        <w:t xml:space="preserve">enes públicos de financiamiento </w:t>
      </w:r>
      <w:r w:rsidRPr="00C778E0">
        <w:rPr>
          <w:rFonts w:ascii="Montserrat" w:hAnsi="Montserrat"/>
        </w:rPr>
        <w:t xml:space="preserve">de la salud (HF.1.1). </w:t>
      </w:r>
    </w:p>
    <w:p w:rsidR="00336ABF" w:rsidRPr="00C778E0" w:rsidRDefault="00336ABF" w:rsidP="006520C0">
      <w:pPr>
        <w:jc w:val="both"/>
        <w:rPr>
          <w:rFonts w:ascii="Montserrat" w:hAnsi="Montserrat"/>
        </w:rPr>
      </w:pPr>
      <w:r w:rsidRPr="00C778E0">
        <w:rPr>
          <w:rFonts w:ascii="Montserrat" w:hAnsi="Montserrat"/>
        </w:rPr>
        <w:t>• Incluye: ingresos asignados a esquemas guber</w:t>
      </w:r>
      <w:r w:rsidR="006520C0" w:rsidRPr="00C778E0">
        <w:rPr>
          <w:rFonts w:ascii="Montserrat" w:hAnsi="Montserrat"/>
        </w:rPr>
        <w:t xml:space="preserve">namentales (FS.1.1), que pueden </w:t>
      </w:r>
      <w:r w:rsidRPr="00C778E0">
        <w:rPr>
          <w:rFonts w:ascii="Montserrat" w:hAnsi="Montserrat"/>
        </w:rPr>
        <w:t>ser una transferencia interna dentro del</w:t>
      </w:r>
      <w:r w:rsidR="006520C0" w:rsidRPr="00C778E0">
        <w:rPr>
          <w:rFonts w:ascii="Montserrat" w:hAnsi="Montserrat"/>
        </w:rPr>
        <w:t xml:space="preserve"> mismo nivel de gobierno, o una </w:t>
      </w:r>
      <w:r w:rsidRPr="00C778E0">
        <w:rPr>
          <w:rFonts w:ascii="Montserrat" w:hAnsi="Montserrat"/>
        </w:rPr>
        <w:t>transferencia entre el gobierno central y el lo</w:t>
      </w:r>
      <w:r w:rsidR="006520C0" w:rsidRPr="00C778E0">
        <w:rPr>
          <w:rFonts w:ascii="Montserrat" w:hAnsi="Montserrat"/>
        </w:rPr>
        <w:t xml:space="preserve">cal. Incluye: el presupuesto de </w:t>
      </w:r>
      <w:r w:rsidRPr="00C778E0">
        <w:rPr>
          <w:rFonts w:ascii="Montserrat" w:hAnsi="Montserrat"/>
        </w:rPr>
        <w:t>los servicios nacionales de salud; ingresos asi</w:t>
      </w:r>
      <w:r w:rsidR="006520C0" w:rsidRPr="00C778E0">
        <w:rPr>
          <w:rFonts w:ascii="Montserrat" w:hAnsi="Montserrat"/>
        </w:rPr>
        <w:t xml:space="preserve">gnados a los programas de salud </w:t>
      </w:r>
      <w:r w:rsidRPr="00C778E0">
        <w:rPr>
          <w:rFonts w:ascii="Montserrat" w:hAnsi="Montserrat"/>
        </w:rPr>
        <w:t>del gobierno central en paí</w:t>
      </w:r>
      <w:r w:rsidR="006520C0" w:rsidRPr="00C778E0">
        <w:rPr>
          <w:rFonts w:ascii="Montserrat" w:hAnsi="Montserrat"/>
        </w:rPr>
        <w:t>ses con seguridad social, etc.</w:t>
      </w:r>
    </w:p>
    <w:p w:rsidR="006520C0" w:rsidRPr="001A0A75" w:rsidRDefault="006520C0" w:rsidP="006520C0">
      <w:pPr>
        <w:jc w:val="both"/>
        <w:rPr>
          <w:rFonts w:ascii="Montserrat" w:hAnsi="Montserrat"/>
          <w:b/>
          <w:color w:val="9D2449" w:themeColor="accent2"/>
        </w:rPr>
      </w:pPr>
      <w:r w:rsidRPr="001A0A75">
        <w:rPr>
          <w:rFonts w:ascii="Montserrat" w:hAnsi="Montserrat"/>
          <w:b/>
          <w:color w:val="9D2449" w:themeColor="accent2"/>
        </w:rPr>
        <w:t>FS.3 Cotizaciones a la seguridad social</w:t>
      </w:r>
    </w:p>
    <w:p w:rsidR="006520C0" w:rsidRPr="00C778E0" w:rsidRDefault="006520C0" w:rsidP="006520C0">
      <w:pPr>
        <w:jc w:val="both"/>
        <w:rPr>
          <w:rFonts w:ascii="Montserrat" w:hAnsi="Montserrat"/>
        </w:rPr>
      </w:pPr>
      <w:r w:rsidRPr="00C778E0">
        <w:rPr>
          <w:rFonts w:ascii="Montserrat" w:hAnsi="Montserrat"/>
        </w:rPr>
        <w:t>Las cotizaciones a la seguridad social son pagos de los empleadores en nombre de sus trabajadores o de los trabajadores autónomos, personas en desempleo o que trabajan por su propia cuenta, realizados con el propósito de tener derecho a las prestaciones de la seguridad social. Las subcategorías de las cotizaciones a la seguridad social se clasifican por tipo de unidades institucionales que pagan la cotización en nombre de sus asegurados.</w:t>
      </w:r>
    </w:p>
    <w:p w:rsidR="00726D6B" w:rsidRPr="001A0A75" w:rsidRDefault="00726D6B" w:rsidP="00726D6B">
      <w:pPr>
        <w:jc w:val="both"/>
        <w:rPr>
          <w:rFonts w:ascii="Montserrat" w:hAnsi="Montserrat"/>
          <w:b/>
          <w:color w:val="9D2449" w:themeColor="accent2"/>
        </w:rPr>
      </w:pPr>
      <w:r w:rsidRPr="001A0A75">
        <w:rPr>
          <w:rFonts w:ascii="Montserrat" w:hAnsi="Montserrat"/>
          <w:b/>
          <w:color w:val="9D2449" w:themeColor="accent2"/>
        </w:rPr>
        <w:t>FS.5.1 Pre-pago voluntarios de personas y hogares</w:t>
      </w:r>
    </w:p>
    <w:p w:rsidR="00726D6B" w:rsidRPr="00C778E0" w:rsidRDefault="00726D6B" w:rsidP="00726D6B">
      <w:pPr>
        <w:jc w:val="both"/>
        <w:rPr>
          <w:rFonts w:ascii="Montserrat" w:hAnsi="Montserrat"/>
        </w:rPr>
      </w:pPr>
      <w:r w:rsidRPr="00C778E0">
        <w:rPr>
          <w:rFonts w:ascii="Montserrat" w:hAnsi="Montserrat"/>
        </w:rPr>
        <w:t>Incluye las primas de seguro privado voluntario. Las primas del seguro voluntario son pagos para asegurar el derecho a prestación de los regímenes de seguro médico voluntario, que recibe el asegurado u otras unidades institucionales en nombre del asegurado. Las subcategorías de los pre-pagos voluntarios se clasifican por tipo de unidades institucionales que hacen los ingresos: Pre-pago de personas y hogares.</w:t>
      </w:r>
    </w:p>
    <w:p w:rsidR="00726D6B" w:rsidRPr="001A0A75" w:rsidRDefault="00726D6B" w:rsidP="00726D6B">
      <w:pPr>
        <w:jc w:val="both"/>
        <w:rPr>
          <w:rFonts w:ascii="Montserrat" w:hAnsi="Montserrat"/>
          <w:b/>
          <w:color w:val="9D2449" w:themeColor="accent2"/>
        </w:rPr>
      </w:pPr>
      <w:r w:rsidRPr="001A0A75">
        <w:rPr>
          <w:rFonts w:ascii="Montserrat" w:hAnsi="Montserrat"/>
          <w:b/>
          <w:color w:val="9D2449" w:themeColor="accent2"/>
        </w:rPr>
        <w:t xml:space="preserve">FS.6.1 Otros ingresos de hogares </w:t>
      </w:r>
      <w:proofErr w:type="spellStart"/>
      <w:r w:rsidRPr="001A0A75">
        <w:rPr>
          <w:rFonts w:ascii="Montserrat" w:hAnsi="Montserrat"/>
          <w:b/>
          <w:color w:val="9D2449" w:themeColor="accent2"/>
        </w:rPr>
        <w:t>n.e.p</w:t>
      </w:r>
      <w:proofErr w:type="spellEnd"/>
      <w:r w:rsidRPr="001A0A75">
        <w:rPr>
          <w:rFonts w:ascii="Montserrat" w:hAnsi="Montserrat"/>
          <w:b/>
          <w:color w:val="9D2449" w:themeColor="accent2"/>
        </w:rPr>
        <w:t>.</w:t>
      </w:r>
    </w:p>
    <w:p w:rsidR="00726D6B" w:rsidRPr="00C778E0" w:rsidRDefault="00726D6B" w:rsidP="00726D6B">
      <w:pPr>
        <w:jc w:val="both"/>
        <w:rPr>
          <w:rFonts w:ascii="Montserrat" w:hAnsi="Montserrat"/>
        </w:rPr>
      </w:pPr>
      <w:r w:rsidRPr="00C778E0">
        <w:rPr>
          <w:rFonts w:ascii="Montserrat" w:hAnsi="Montserrat"/>
        </w:rPr>
        <w:t>Esta categoría incluye el origen de los pagos directos de los hogares. Además, también se incluye cualquier transferencia voluntaria de los hogares a los esquemas de financiamiento de la salud, que no estén clasificadas en FS.5.</w:t>
      </w:r>
    </w:p>
    <w:p w:rsidR="00726D6B" w:rsidRPr="001A0A75" w:rsidRDefault="00726D6B" w:rsidP="00726D6B">
      <w:pPr>
        <w:jc w:val="both"/>
        <w:rPr>
          <w:rFonts w:ascii="Montserrat" w:hAnsi="Montserrat"/>
          <w:b/>
          <w:color w:val="9D2449" w:themeColor="accent2"/>
        </w:rPr>
      </w:pPr>
      <w:r w:rsidRPr="001A0A75">
        <w:rPr>
          <w:rFonts w:ascii="Montserrat" w:hAnsi="Montserrat"/>
          <w:b/>
          <w:color w:val="9D2449" w:themeColor="accent2"/>
        </w:rPr>
        <w:t xml:space="preserve">FS.6.3 Otros ingresos de ISFLSH </w:t>
      </w:r>
      <w:proofErr w:type="spellStart"/>
      <w:r w:rsidRPr="001A0A75">
        <w:rPr>
          <w:rFonts w:ascii="Montserrat" w:hAnsi="Montserrat"/>
          <w:b/>
          <w:color w:val="9D2449" w:themeColor="accent2"/>
        </w:rPr>
        <w:t>n.e.p</w:t>
      </w:r>
      <w:proofErr w:type="spellEnd"/>
      <w:r w:rsidRPr="001A0A75">
        <w:rPr>
          <w:rFonts w:ascii="Montserrat" w:hAnsi="Montserrat"/>
          <w:b/>
          <w:color w:val="9D2449" w:themeColor="accent2"/>
        </w:rPr>
        <w:t>.</w:t>
      </w:r>
    </w:p>
    <w:p w:rsidR="00726D6B" w:rsidRPr="00C778E0" w:rsidRDefault="00726D6B" w:rsidP="00726D6B">
      <w:pPr>
        <w:jc w:val="both"/>
        <w:rPr>
          <w:rFonts w:ascii="Montserrat" w:hAnsi="Montserrat"/>
        </w:rPr>
      </w:pPr>
      <w:r w:rsidRPr="00C778E0">
        <w:rPr>
          <w:rFonts w:ascii="Montserrat" w:hAnsi="Montserrat"/>
        </w:rPr>
        <w:t>Esta categoría incluye los recursos que destinan las Instituciones sin Fines de Lucro por concepto de salud al servicio de los hogares.</w:t>
      </w:r>
    </w:p>
    <w:sectPr w:rsidR="00726D6B" w:rsidRPr="00C778E0" w:rsidSect="00C778E0">
      <w:headerReference w:type="even" r:id="rId10"/>
      <w:headerReference w:type="default" r:id="rId11"/>
      <w:headerReference w:type="first" r:id="rId12"/>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D11" w:rsidRDefault="00243D11" w:rsidP="00982BB8">
      <w:pPr>
        <w:spacing w:after="0" w:line="240" w:lineRule="auto"/>
      </w:pPr>
      <w:r>
        <w:separator/>
      </w:r>
    </w:p>
  </w:endnote>
  <w:endnote w:type="continuationSeparator" w:id="0">
    <w:p w:rsidR="00243D11" w:rsidRDefault="00243D11"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D11" w:rsidRDefault="00243D11" w:rsidP="00982BB8">
      <w:pPr>
        <w:spacing w:after="0" w:line="240" w:lineRule="auto"/>
      </w:pPr>
      <w:r>
        <w:separator/>
      </w:r>
    </w:p>
  </w:footnote>
  <w:footnote w:type="continuationSeparator" w:id="0">
    <w:p w:rsidR="00243D11" w:rsidRDefault="00243D11"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A75" w:rsidRDefault="00243D11">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400594"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8E0" w:rsidRPr="006B1ACA" w:rsidRDefault="00243D11" w:rsidP="00C778E0">
    <w:pPr>
      <w:pStyle w:val="Encabezado"/>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400595" o:spid="_x0000_s2052" type="#_x0000_t75" style="position:absolute;margin-left:0;margin-top:0;width:639.45pt;height:826.75pt;z-index:-251654144;mso-position-horizontal:center;mso-position-horizontal-relative:margin;mso-position-vertical:center;mso-position-vertical-relative:margin" o:allowincell="f">
          <v:imagedata r:id="rId1" o:title="Marca de Agua 4t"/>
          <w10:wrap anchorx="margin" anchory="margin"/>
        </v:shape>
      </w:pict>
    </w:r>
    <w:r w:rsidR="00C778E0" w:rsidRPr="006B1ACA">
      <w:rPr>
        <w:noProof/>
        <w:color w:val="BC7D00"/>
        <w:lang w:eastAsia="es-MX"/>
      </w:rPr>
      <w:drawing>
        <wp:anchor distT="0" distB="0" distL="114300" distR="114300" simplePos="0" relativeHeight="251659264" behindDoc="0" locked="0" layoutInCell="1" allowOverlap="1" wp14:anchorId="794968B8" wp14:editId="104347DE">
          <wp:simplePos x="0" y="0"/>
          <wp:positionH relativeFrom="column">
            <wp:posOffset>-130415</wp:posOffset>
          </wp:positionH>
          <wp:positionV relativeFrom="paragraph">
            <wp:posOffset>-130040</wp:posOffset>
          </wp:positionV>
          <wp:extent cx="2233868" cy="525780"/>
          <wp:effectExtent l="0" t="0" r="0" b="7620"/>
          <wp:wrapSquare wrapText="bothSides"/>
          <wp:docPr id="8" name="Imagen 8"/>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778E0" w:rsidRPr="006B1ACA">
      <w:rPr>
        <w:rFonts w:ascii="Montserrat" w:hAnsi="Montserrat"/>
        <w:color w:val="BC7D00"/>
      </w:rPr>
      <w:t>Subsecretaria de Integración y Desarrollo del Sector Salud</w:t>
    </w:r>
  </w:p>
  <w:p w:rsidR="00C778E0" w:rsidRDefault="00C778E0" w:rsidP="00C778E0">
    <w:pPr>
      <w:pStyle w:val="Encabezado"/>
      <w:jc w:val="center"/>
      <w:rPr>
        <w:rFonts w:ascii="Montserrat" w:hAnsi="Montserrat"/>
        <w:color w:val="BC7D00"/>
      </w:rPr>
    </w:pPr>
    <w:r w:rsidRPr="006B1ACA">
      <w:rPr>
        <w:rFonts w:ascii="Montserrat" w:hAnsi="Montserrat"/>
        <w:color w:val="BC7D00"/>
      </w:rPr>
      <w:t>Dirección General de Información en Salud</w:t>
    </w:r>
  </w:p>
  <w:p w:rsidR="00182A18" w:rsidRPr="0074300F" w:rsidRDefault="00182A18" w:rsidP="0074300F">
    <w:pPr>
      <w:pStyle w:val="Encabezado"/>
      <w:jc w:val="right"/>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A75" w:rsidRDefault="00243D11">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400593"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1291C30"/>
    <w:multiLevelType w:val="hybridMultilevel"/>
    <w:tmpl w:val="A732D24A"/>
    <w:lvl w:ilvl="0" w:tplc="B49EBA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30F3D"/>
    <w:rsid w:val="000B5FC0"/>
    <w:rsid w:val="000F270E"/>
    <w:rsid w:val="00182A18"/>
    <w:rsid w:val="001A0A75"/>
    <w:rsid w:val="00243D11"/>
    <w:rsid w:val="0029461B"/>
    <w:rsid w:val="002968A3"/>
    <w:rsid w:val="002C02E9"/>
    <w:rsid w:val="00315B55"/>
    <w:rsid w:val="0032568B"/>
    <w:rsid w:val="00336ABF"/>
    <w:rsid w:val="0036247B"/>
    <w:rsid w:val="0036394C"/>
    <w:rsid w:val="00390606"/>
    <w:rsid w:val="003B1B81"/>
    <w:rsid w:val="0046583E"/>
    <w:rsid w:val="004815C3"/>
    <w:rsid w:val="00557256"/>
    <w:rsid w:val="00565D50"/>
    <w:rsid w:val="0059248E"/>
    <w:rsid w:val="005E34E5"/>
    <w:rsid w:val="006520C0"/>
    <w:rsid w:val="00652AB2"/>
    <w:rsid w:val="006C3207"/>
    <w:rsid w:val="00726D6B"/>
    <w:rsid w:val="0074300F"/>
    <w:rsid w:val="007478FE"/>
    <w:rsid w:val="0076058F"/>
    <w:rsid w:val="00931BB3"/>
    <w:rsid w:val="00982BB8"/>
    <w:rsid w:val="00983693"/>
    <w:rsid w:val="009962D7"/>
    <w:rsid w:val="009A5FE2"/>
    <w:rsid w:val="009F0582"/>
    <w:rsid w:val="00A60708"/>
    <w:rsid w:val="00AD3127"/>
    <w:rsid w:val="00B0083E"/>
    <w:rsid w:val="00B54F21"/>
    <w:rsid w:val="00B5513E"/>
    <w:rsid w:val="00BB4451"/>
    <w:rsid w:val="00BD25F8"/>
    <w:rsid w:val="00C0343D"/>
    <w:rsid w:val="00C045AC"/>
    <w:rsid w:val="00C1088F"/>
    <w:rsid w:val="00C47FA5"/>
    <w:rsid w:val="00C610BA"/>
    <w:rsid w:val="00C778E0"/>
    <w:rsid w:val="00C8509F"/>
    <w:rsid w:val="00C859F0"/>
    <w:rsid w:val="00DA6AE0"/>
    <w:rsid w:val="00DC5F5C"/>
    <w:rsid w:val="00DD3A05"/>
    <w:rsid w:val="00DE4B43"/>
    <w:rsid w:val="00E5434E"/>
    <w:rsid w:val="00EB788A"/>
    <w:rsid w:val="00F36B59"/>
    <w:rsid w:val="00F6641C"/>
    <w:rsid w:val="00F833DC"/>
    <w:rsid w:val="00FA0587"/>
    <w:rsid w:val="00FB35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B86C8B3"/>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yeliSalud">
    <w:name w:val="Nayeli Salud"/>
    <w:basedOn w:val="Normal"/>
    <w:link w:val="NayeliSaludCar"/>
    <w:qFormat/>
    <w:rsid w:val="00565D50"/>
    <w:rPr>
      <w:rFonts w:ascii="Soberana Sans" w:hAnsi="Soberana Sans"/>
      <w:sz w:val="20"/>
    </w:rPr>
  </w:style>
  <w:style w:type="character" w:customStyle="1" w:styleId="NayeliSaludCar">
    <w:name w:val="Nayeli Salud Car"/>
    <w:basedOn w:val="Fuentedeprrafopredeter"/>
    <w:link w:val="NayeliSalud"/>
    <w:rsid w:val="00565D50"/>
    <w:rPr>
      <w:rFonts w:ascii="Soberana Sans" w:hAnsi="Soberana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623121">
      <w:bodyDiv w:val="1"/>
      <w:marLeft w:val="0"/>
      <w:marRight w:val="0"/>
      <w:marTop w:val="0"/>
      <w:marBottom w:val="0"/>
      <w:divBdr>
        <w:top w:val="none" w:sz="0" w:space="0" w:color="auto"/>
        <w:left w:val="none" w:sz="0" w:space="0" w:color="auto"/>
        <w:bottom w:val="none" w:sz="0" w:space="0" w:color="auto"/>
        <w:right w:val="none" w:sz="0" w:space="0" w:color="auto"/>
      </w:divBdr>
    </w:div>
    <w:div w:id="117880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2EF22-44C2-461C-A67C-E53C3B77E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6</Pages>
  <Words>1520</Words>
  <Characters>8361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15</cp:revision>
  <dcterms:created xsi:type="dcterms:W3CDTF">2017-06-27T22:24:00Z</dcterms:created>
  <dcterms:modified xsi:type="dcterms:W3CDTF">2019-06-27T21:22:00Z</dcterms:modified>
</cp:coreProperties>
</file>